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附件</w:t>
      </w:r>
      <w:r>
        <w:rPr>
          <w:rFonts w:hint="eastAsia" w:ascii="仿宋" w:hAnsi="仿宋" w:eastAsia="仿宋" w:cs="仿宋"/>
          <w:b w:val="0"/>
          <w:bCs/>
          <w:sz w:val="32"/>
          <w:szCs w:val="32"/>
          <w:lang w:val="en-US" w:eastAsia="zh-CN"/>
        </w:rPr>
        <w:t>2</w:t>
      </w:r>
    </w:p>
    <w:p>
      <w:pPr>
        <w:spacing w:line="520" w:lineRule="exact"/>
        <w:jc w:val="center"/>
        <w:rPr>
          <w:rFonts w:hint="eastAsia" w:ascii="宋体" w:hAnsi="宋体"/>
          <w:b/>
          <w:sz w:val="44"/>
          <w:szCs w:val="44"/>
        </w:rPr>
      </w:pPr>
    </w:p>
    <w:p>
      <w:pPr>
        <w:spacing w:line="520" w:lineRule="exact"/>
        <w:jc w:val="center"/>
        <w:rPr>
          <w:rFonts w:ascii="宋体" w:hAnsi="宋体"/>
          <w:b/>
          <w:sz w:val="44"/>
          <w:szCs w:val="44"/>
        </w:rPr>
      </w:pPr>
      <w:r>
        <w:rPr>
          <w:rFonts w:hint="eastAsia" w:ascii="宋体" w:hAnsi="宋体"/>
          <w:b/>
          <w:sz w:val="44"/>
          <w:szCs w:val="44"/>
        </w:rPr>
        <w:t>2023年度投资评审中介费项目</w:t>
      </w:r>
    </w:p>
    <w:p>
      <w:pPr>
        <w:spacing w:line="520" w:lineRule="exact"/>
        <w:jc w:val="center"/>
        <w:rPr>
          <w:rFonts w:ascii="宋体" w:hAnsi="宋体"/>
          <w:b/>
          <w:sz w:val="44"/>
          <w:szCs w:val="44"/>
        </w:rPr>
      </w:pPr>
      <w:r>
        <w:rPr>
          <w:rFonts w:hint="eastAsia" w:ascii="宋体" w:hAnsi="宋体"/>
          <w:b/>
          <w:sz w:val="44"/>
          <w:szCs w:val="44"/>
        </w:rPr>
        <w:t>绩效评价报告</w:t>
      </w:r>
    </w:p>
    <w:p>
      <w:pPr>
        <w:spacing w:line="520" w:lineRule="exact"/>
        <w:jc w:val="center"/>
        <w:rPr>
          <w:rFonts w:ascii="宋体" w:hAnsi="宋体" w:cs="Arial"/>
          <w:b/>
          <w:bCs/>
          <w:sz w:val="44"/>
          <w:szCs w:val="44"/>
        </w:rPr>
      </w:pPr>
    </w:p>
    <w:p>
      <w:pPr>
        <w:spacing w:line="520" w:lineRule="exact"/>
        <w:ind w:firstLine="643" w:firstLineChars="200"/>
        <w:rPr>
          <w:rFonts w:ascii="黑体" w:hAnsi="黑体" w:eastAsia="黑体"/>
          <w:b/>
          <w:bCs/>
          <w:sz w:val="32"/>
          <w:szCs w:val="32"/>
        </w:rPr>
      </w:pPr>
      <w:r>
        <w:rPr>
          <w:rFonts w:hint="eastAsia" w:ascii="黑体" w:hAnsi="黑体" w:eastAsia="黑体"/>
          <w:b/>
          <w:bCs/>
          <w:sz w:val="32"/>
          <w:szCs w:val="32"/>
        </w:rPr>
        <w:t>一、基本情况</w:t>
      </w:r>
    </w:p>
    <w:p>
      <w:pPr>
        <w:spacing w:line="520" w:lineRule="exact"/>
        <w:ind w:firstLine="643" w:firstLineChars="200"/>
        <w:outlineLvl w:val="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spacing w:line="520" w:lineRule="exact"/>
        <w:ind w:firstLine="643" w:firstLineChars="200"/>
        <w:outlineLvl w:val="0"/>
        <w:rPr>
          <w:rFonts w:ascii="仿宋" w:hAnsi="仿宋" w:eastAsia="仿宋"/>
          <w:b/>
          <w:bCs/>
          <w:sz w:val="32"/>
          <w:szCs w:val="32"/>
        </w:rPr>
      </w:pPr>
      <w:r>
        <w:rPr>
          <w:rFonts w:hint="eastAsia" w:ascii="仿宋" w:hAnsi="仿宋" w:eastAsia="仿宋"/>
          <w:b/>
          <w:bCs/>
          <w:sz w:val="32"/>
          <w:szCs w:val="32"/>
        </w:rPr>
        <w:t xml:space="preserve"> 1.主要内容</w:t>
      </w:r>
      <w:bookmarkStart w:id="0" w:name="_GoBack"/>
      <w:bookmarkEnd w:id="0"/>
    </w:p>
    <w:p>
      <w:pPr>
        <w:spacing w:line="520" w:lineRule="exact"/>
        <w:ind w:firstLine="640" w:firstLineChars="200"/>
        <w:outlineLvl w:val="0"/>
        <w:rPr>
          <w:rFonts w:ascii="仿宋" w:hAnsi="仿宋" w:eastAsia="仿宋"/>
          <w:b/>
          <w:bCs/>
          <w:sz w:val="32"/>
          <w:szCs w:val="32"/>
        </w:rPr>
      </w:pPr>
      <w:r>
        <w:rPr>
          <w:rFonts w:hint="eastAsia" w:ascii="仿宋_GB2312" w:hAnsi="仿宋_GB2312" w:eastAsia="仿宋_GB2312" w:cs="仿宋_GB2312"/>
          <w:color w:val="000000"/>
          <w:sz w:val="32"/>
          <w:szCs w:val="32"/>
        </w:rPr>
        <w:t>2023年度西藏昌都市财政局投资评审中介费用年初预算共710万元。</w:t>
      </w:r>
    </w:p>
    <w:p>
      <w:pPr>
        <w:spacing w:line="520" w:lineRule="exact"/>
        <w:ind w:firstLine="790" w:firstLineChars="246"/>
        <w:outlineLvl w:val="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2.资金来源及到位情况</w:t>
      </w:r>
    </w:p>
    <w:p>
      <w:pPr>
        <w:spacing w:line="520" w:lineRule="exact"/>
        <w:ind w:firstLine="64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资金来源为</w:t>
      </w:r>
      <w:r>
        <w:rPr>
          <w:rFonts w:hint="eastAsia" w:ascii="仿宋_GB2312" w:eastAsia="仿宋_GB2312"/>
          <w:sz w:val="32"/>
          <w:szCs w:val="32"/>
        </w:rPr>
        <w:t>全额财政拨款，</w:t>
      </w:r>
      <w:r>
        <w:rPr>
          <w:rFonts w:hint="eastAsia" w:ascii="仿宋_GB2312" w:hAnsi="仿宋_GB2312" w:eastAsia="仿宋_GB2312" w:cs="仿宋_GB2312"/>
          <w:color w:val="000000"/>
          <w:sz w:val="32"/>
          <w:szCs w:val="32"/>
        </w:rPr>
        <w:t>项目到位资金710万元。</w:t>
      </w:r>
    </w:p>
    <w:p>
      <w:pPr>
        <w:numPr>
          <w:ilvl w:val="0"/>
          <w:numId w:val="1"/>
        </w:numPr>
        <w:spacing w:line="52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项目绩效目标</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加强昌都市财政投资评审管理，规范财政投资评审行为，保证评审工作质量，提高财政投资评审工作效率，加强财政支出管理。</w:t>
      </w: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line="52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spacing w:line="520" w:lineRule="exact"/>
        <w:ind w:firstLine="643" w:firstLineChars="200"/>
        <w:rPr>
          <w:rFonts w:ascii="仿宋" w:hAnsi="仿宋" w:eastAsia="仿宋"/>
          <w:b/>
          <w:bCs/>
          <w:sz w:val="32"/>
          <w:szCs w:val="32"/>
        </w:rPr>
      </w:pPr>
      <w:r>
        <w:rPr>
          <w:rFonts w:hint="eastAsia" w:ascii="仿宋" w:hAnsi="仿宋" w:eastAsia="仿宋"/>
          <w:b/>
          <w:bCs/>
          <w:sz w:val="32"/>
          <w:szCs w:val="32"/>
        </w:rPr>
        <w:t>1.绩效评价的目的</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运用科学、规范、合理的评价方法、评价指标和评分标准，对市级财政资金（以市级财政下达资金为主向其他资金延伸）的分配、管理、使用、产出及效果等进行客观、公正的测量、分析和评判，评价绩效水平，发现存在问题，并分析问题成因，提出进一步加强资金管理的意见建议。</w:t>
      </w:r>
    </w:p>
    <w:p>
      <w:pPr>
        <w:widowControl/>
        <w:spacing w:line="520" w:lineRule="exact"/>
        <w:ind w:firstLine="643" w:firstLineChars="200"/>
        <w:jc w:val="left"/>
        <w:rPr>
          <w:rFonts w:ascii="仿宋_GB2312" w:hAnsi="仿宋_GB2312" w:eastAsia="仿宋_GB2312" w:cs="仿宋_GB2312"/>
          <w:b/>
          <w:bCs/>
          <w:color w:val="000000"/>
          <w:kern w:val="0"/>
          <w:sz w:val="31"/>
          <w:szCs w:val="31"/>
        </w:rPr>
      </w:pPr>
      <w:r>
        <w:rPr>
          <w:rFonts w:hint="eastAsia" w:ascii="仿宋" w:hAnsi="仿宋" w:eastAsia="仿宋"/>
          <w:b/>
          <w:bCs/>
          <w:sz w:val="32"/>
          <w:szCs w:val="32"/>
        </w:rPr>
        <w:t>2.绩效评价的对象</w:t>
      </w:r>
    </w:p>
    <w:p>
      <w:pPr>
        <w:widowControl/>
        <w:spacing w:line="520" w:lineRule="exact"/>
        <w:ind w:firstLine="620" w:firstLineChars="200"/>
        <w:jc w:val="left"/>
        <w:rPr>
          <w:rFonts w:ascii="仿宋" w:hAnsi="仿宋" w:eastAsia="仿宋"/>
          <w:sz w:val="32"/>
          <w:szCs w:val="32"/>
        </w:rPr>
      </w:pPr>
      <w:r>
        <w:rPr>
          <w:rFonts w:hint="eastAsia" w:ascii="仿宋_GB2312" w:hAnsi="仿宋_GB2312" w:eastAsia="仿宋_GB2312" w:cs="仿宋_GB2312"/>
          <w:color w:val="000000"/>
          <w:kern w:val="0"/>
          <w:sz w:val="31"/>
          <w:szCs w:val="31"/>
        </w:rPr>
        <w:t>对</w:t>
      </w:r>
      <w:r>
        <w:rPr>
          <w:rFonts w:ascii="仿宋_GB2312" w:hAnsi="仿宋_GB2312" w:eastAsia="仿宋_GB2312" w:cs="仿宋_GB2312"/>
          <w:color w:val="000000"/>
          <w:kern w:val="0"/>
          <w:sz w:val="31"/>
          <w:szCs w:val="31"/>
        </w:rPr>
        <w:t>202</w:t>
      </w:r>
      <w:r>
        <w:rPr>
          <w:rFonts w:hint="eastAsia" w:ascii="仿宋_GB2312" w:hAnsi="仿宋_GB2312" w:eastAsia="仿宋_GB2312" w:cs="仿宋_GB2312"/>
          <w:color w:val="000000"/>
          <w:kern w:val="0"/>
          <w:sz w:val="31"/>
          <w:szCs w:val="31"/>
        </w:rPr>
        <w:t>3</w:t>
      </w:r>
      <w:r>
        <w:rPr>
          <w:rFonts w:ascii="仿宋_GB2312" w:hAnsi="仿宋_GB2312" w:eastAsia="仿宋_GB2312" w:cs="仿宋_GB2312"/>
          <w:color w:val="000000"/>
          <w:kern w:val="0"/>
          <w:sz w:val="31"/>
          <w:szCs w:val="31"/>
        </w:rPr>
        <w:t>年</w:t>
      </w:r>
      <w:r>
        <w:rPr>
          <w:rFonts w:hint="eastAsia" w:ascii="仿宋_GB2312" w:hAnsi="仿宋_GB2312" w:eastAsia="仿宋_GB2312" w:cs="仿宋_GB2312"/>
          <w:color w:val="000000"/>
          <w:kern w:val="0"/>
          <w:sz w:val="31"/>
          <w:szCs w:val="31"/>
        </w:rPr>
        <w:t>度</w:t>
      </w:r>
      <w:r>
        <w:rPr>
          <w:rFonts w:ascii="仿宋_GB2312" w:hAnsi="仿宋_GB2312" w:eastAsia="仿宋_GB2312" w:cs="仿宋_GB2312"/>
          <w:color w:val="000000"/>
          <w:kern w:val="0"/>
          <w:sz w:val="31"/>
          <w:szCs w:val="31"/>
        </w:rPr>
        <w:t>财政局</w:t>
      </w:r>
      <w:r>
        <w:rPr>
          <w:rFonts w:hint="eastAsia" w:ascii="仿宋_GB2312" w:hAnsi="仿宋_GB2312" w:eastAsia="仿宋_GB2312" w:cs="仿宋_GB2312"/>
          <w:color w:val="000000"/>
          <w:kern w:val="0"/>
          <w:sz w:val="31"/>
          <w:szCs w:val="31"/>
        </w:rPr>
        <w:t>投资评审中介费用710万元项目</w:t>
      </w:r>
      <w:r>
        <w:rPr>
          <w:rFonts w:ascii="仿宋_GB2312" w:hAnsi="仿宋_GB2312" w:eastAsia="仿宋_GB2312" w:cs="仿宋_GB2312"/>
          <w:color w:val="000000"/>
          <w:kern w:val="0"/>
          <w:sz w:val="31"/>
          <w:szCs w:val="31"/>
        </w:rPr>
        <w:t>开展绩效自评</w:t>
      </w:r>
      <w:r>
        <w:rPr>
          <w:rFonts w:hint="eastAsia" w:ascii="仿宋" w:hAnsi="仿宋" w:eastAsia="仿宋"/>
          <w:sz w:val="32"/>
          <w:szCs w:val="32"/>
        </w:rPr>
        <w:t>。</w:t>
      </w:r>
    </w:p>
    <w:p>
      <w:pPr>
        <w:widowControl/>
        <w:spacing w:line="520" w:lineRule="exact"/>
        <w:ind w:left="420" w:leftChars="200"/>
        <w:jc w:val="left"/>
        <w:rPr>
          <w:rFonts w:ascii="仿宋" w:hAnsi="仿宋" w:eastAsia="仿宋"/>
          <w:sz w:val="32"/>
          <w:szCs w:val="32"/>
        </w:rPr>
      </w:pPr>
      <w:r>
        <w:rPr>
          <w:rFonts w:hint="eastAsia" w:ascii="仿宋" w:hAnsi="仿宋" w:eastAsia="仿宋"/>
          <w:b/>
          <w:bCs/>
          <w:sz w:val="32"/>
          <w:szCs w:val="32"/>
        </w:rPr>
        <w:t>3.绩效评价的范围</w:t>
      </w:r>
    </w:p>
    <w:p>
      <w:pPr>
        <w:widowControl/>
        <w:spacing w:line="520" w:lineRule="exact"/>
        <w:ind w:firstLine="620" w:firstLineChars="200"/>
        <w:jc w:val="left"/>
      </w:pPr>
      <w:r>
        <w:rPr>
          <w:rFonts w:ascii="仿宋_GB2312" w:hAnsi="仿宋_GB2312" w:eastAsia="仿宋_GB2312" w:cs="仿宋_GB2312"/>
          <w:color w:val="000000"/>
          <w:kern w:val="0"/>
          <w:sz w:val="31"/>
          <w:szCs w:val="31"/>
        </w:rPr>
        <w:t>项目决策情况，资金管理和使用情况</w:t>
      </w:r>
      <w:r>
        <w:rPr>
          <w:rFonts w:hint="eastAsia" w:ascii="仿宋_GB2312" w:hAnsi="仿宋_GB2312" w:eastAsia="仿宋_GB2312" w:cs="仿宋_GB2312"/>
          <w:color w:val="000000"/>
          <w:kern w:val="0"/>
          <w:sz w:val="31"/>
          <w:szCs w:val="31"/>
        </w:rPr>
        <w:t>，</w:t>
      </w:r>
      <w:r>
        <w:rPr>
          <w:rFonts w:ascii="仿宋_GB2312" w:hAnsi="仿宋_GB2312" w:eastAsia="仿宋_GB2312" w:cs="仿宋_GB2312"/>
          <w:color w:val="000000"/>
          <w:kern w:val="0"/>
          <w:sz w:val="31"/>
          <w:szCs w:val="31"/>
        </w:rPr>
        <w:t>相关管理制度办法的健全性及执行情况，本行业领域绩效指标和标准体系建设情况，项目总体绩效目标、各项绩效指标完成情况以及其他相关内容</w:t>
      </w:r>
      <w:r>
        <w:rPr>
          <w:rFonts w:hint="eastAsia" w:ascii="仿宋_GB2312" w:hAnsi="仿宋_GB2312" w:eastAsia="仿宋_GB2312" w:cs="仿宋_GB2312"/>
          <w:color w:val="000000"/>
          <w:kern w:val="0"/>
          <w:sz w:val="31"/>
          <w:szCs w:val="31"/>
        </w:rPr>
        <w:t>。</w:t>
      </w:r>
    </w:p>
    <w:p>
      <w:pPr>
        <w:spacing w:line="520" w:lineRule="exac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（二）绩效评价原则、评价指标体系（附表说明）、评价方法、评价标准等。</w:t>
      </w:r>
    </w:p>
    <w:p>
      <w:pPr>
        <w:pStyle w:val="5"/>
        <w:spacing w:after="0" w:line="520" w:lineRule="exact"/>
        <w:ind w:left="640" w:leftChars="0" w:firstLine="0" w:firstLineChars="0"/>
        <w:rPr>
          <w:rFonts w:ascii="仿宋" w:hAnsi="仿宋" w:eastAsia="仿宋"/>
          <w:b/>
          <w:bCs/>
          <w:sz w:val="32"/>
          <w:szCs w:val="32"/>
        </w:rPr>
      </w:pPr>
      <w:r>
        <w:rPr>
          <w:rFonts w:hint="eastAsia" w:ascii="仿宋" w:hAnsi="仿宋" w:eastAsia="仿宋"/>
          <w:b/>
          <w:bCs/>
          <w:sz w:val="32"/>
          <w:szCs w:val="32"/>
        </w:rPr>
        <w:t>1.绩效评价原则</w:t>
      </w:r>
    </w:p>
    <w:p>
      <w:pPr>
        <w:pStyle w:val="5"/>
        <w:spacing w:after="0" w:line="520" w:lineRule="exact"/>
        <w:ind w:left="0" w:leftChars="0" w:firstLine="640"/>
        <w:rPr>
          <w:rFonts w:ascii="仿宋" w:hAnsi="仿宋" w:eastAsia="仿宋"/>
          <w:sz w:val="32"/>
          <w:szCs w:val="32"/>
        </w:rPr>
      </w:pPr>
      <w:r>
        <w:rPr>
          <w:rFonts w:hint="eastAsia" w:ascii="仿宋" w:hAnsi="仿宋" w:eastAsia="仿宋"/>
          <w:sz w:val="32"/>
          <w:szCs w:val="32"/>
        </w:rPr>
        <w:t>（1）科学公正。绩效评价应当运用科学合理的方法，按照规范的程序，对项目绩效进行客观、公正的反映。 </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（2）统筹兼顾。单位自评应职责明确，各有侧重，相互衔接。单位自评应由项目单位自主实施，即“谁支出、谁自评”。  </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（3）激励约束。绩效评价结果应与预算安排、政策调整、改进管理实质性挂钩，体现奖优罚劣和激励相容导向，有效要安排、低效要压减、无效要问责。  </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（4）公开透明。绩效评价结果应依法依规公开，并自觉接受社会监督。  </w:t>
      </w:r>
    </w:p>
    <w:p>
      <w:pPr>
        <w:spacing w:line="520" w:lineRule="exact"/>
        <w:ind w:firstLine="643" w:firstLineChars="200"/>
        <w:rPr>
          <w:rFonts w:ascii="仿宋" w:hAnsi="仿宋" w:eastAsia="仿宋"/>
          <w:b/>
          <w:bCs/>
          <w:sz w:val="32"/>
          <w:szCs w:val="32"/>
        </w:rPr>
      </w:pPr>
      <w:r>
        <w:rPr>
          <w:rFonts w:hint="eastAsia" w:ascii="仿宋" w:hAnsi="仿宋" w:eastAsia="仿宋"/>
          <w:b/>
          <w:bCs/>
          <w:sz w:val="32"/>
          <w:szCs w:val="32"/>
        </w:rPr>
        <w:t>2.评价指标体系、评价方法、评价标准</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2023年项目支出绩效评价指标体系设置产出指标、效益指标、满意度指标3个一级指标。</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产出指标设置数量指标、成本指标、时效指标、质量指标4个二级指标；质量指标设置评审报告复审合理率和项目评审平均审减率2个三级指标。</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效益指标设置可持续经济效益指标、可持续影响指标、社会效益指标3个二级指标。可持续影响指标设置项目评审对财政投资管理、促进反腐倡廉、推动投融资体系改革2个三级指标；社会效益指标设置社会影响力、规范全市建筑市场2个三级指标。</w:t>
      </w:r>
    </w:p>
    <w:p>
      <w:pPr>
        <w:pStyle w:val="5"/>
        <w:spacing w:after="0" w:line="520" w:lineRule="exact"/>
        <w:ind w:left="0" w:leftChars="0" w:firstLine="640"/>
        <w:rPr>
          <w:rFonts w:ascii="仿宋" w:hAnsi="仿宋" w:eastAsia="仿宋"/>
          <w:sz w:val="32"/>
          <w:szCs w:val="32"/>
        </w:rPr>
      </w:pPr>
      <w:r>
        <w:rPr>
          <w:rFonts w:hint="eastAsia" w:ascii="仿宋" w:hAnsi="仿宋" w:eastAsia="仿宋"/>
          <w:sz w:val="32"/>
          <w:szCs w:val="32"/>
        </w:rPr>
        <w:t>满意度指标设置服务对象满意度指标1个二级指标。</w:t>
      </w:r>
    </w:p>
    <w:p>
      <w:pPr>
        <w:pStyle w:val="5"/>
        <w:spacing w:after="0" w:line="520" w:lineRule="exact"/>
        <w:ind w:left="0" w:leftChars="0" w:firstLine="640"/>
        <w:rPr>
          <w:rFonts w:ascii="仿宋" w:hAnsi="仿宋" w:eastAsia="仿宋"/>
          <w:sz w:val="32"/>
          <w:szCs w:val="32"/>
        </w:rPr>
      </w:pPr>
      <w:r>
        <w:rPr>
          <w:rFonts w:hint="eastAsia" w:ascii="仿宋" w:hAnsi="仿宋" w:eastAsia="仿宋"/>
          <w:sz w:val="32"/>
          <w:szCs w:val="32"/>
        </w:rPr>
        <w:t>服务对象满意度指标设置业主单位对中介公司专业度及工作态度认可、施工单位对中介公司专业度及工作态度认可2个三级指标。</w:t>
      </w:r>
    </w:p>
    <w:p>
      <w:pPr>
        <w:spacing w:line="520" w:lineRule="exact"/>
        <w:ind w:firstLine="643" w:firstLineChars="200"/>
        <w:rPr>
          <w:rFonts w:ascii="仿宋" w:hAnsi="仿宋" w:eastAsia="仿宋"/>
          <w:b/>
          <w:bCs/>
          <w:sz w:val="32"/>
          <w:szCs w:val="32"/>
        </w:rPr>
      </w:pPr>
      <w:r>
        <w:rPr>
          <w:rFonts w:hint="eastAsia" w:ascii="仿宋" w:hAnsi="仿宋" w:eastAsia="仿宋"/>
          <w:b/>
          <w:bCs/>
          <w:sz w:val="32"/>
          <w:szCs w:val="32"/>
        </w:rPr>
        <w:t>2.评价方法</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此次评价运用了比较法、因素分析法。主要采取整体评价和抽样评价相结合，现场评价和非现场评价相结合，全面评价与重点评价相结合的方式。</w:t>
      </w:r>
    </w:p>
    <w:p>
      <w:pPr>
        <w:spacing w:line="520" w:lineRule="exact"/>
        <w:ind w:firstLine="643" w:firstLineChars="200"/>
        <w:rPr>
          <w:rFonts w:ascii="仿宋" w:hAnsi="仿宋" w:eastAsia="仿宋"/>
          <w:b/>
          <w:bCs/>
          <w:sz w:val="32"/>
          <w:szCs w:val="32"/>
        </w:rPr>
      </w:pPr>
      <w:r>
        <w:rPr>
          <w:rFonts w:hint="eastAsia" w:ascii="仿宋" w:hAnsi="仿宋" w:eastAsia="仿宋"/>
          <w:b/>
          <w:bCs/>
          <w:sz w:val="32"/>
          <w:szCs w:val="32"/>
        </w:rPr>
        <w:t>3.评价标准</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（1）项目绩效目标合理性</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考核部门（单位）所设立的项目目标是否有明确的绩效目标，是否量化可考核，是否于部门的长期规划目标、年度工作目标相一致，用以反映和评价部门（单位）设立的绩效目标与部门履职和年度工作任务的相符性。项目绩效目标合理性分值30分。</w:t>
      </w:r>
    </w:p>
    <w:p>
      <w:pPr>
        <w:numPr>
          <w:ilvl w:val="0"/>
          <w:numId w:val="2"/>
        </w:numPr>
        <w:spacing w:line="520" w:lineRule="exact"/>
        <w:ind w:firstLine="640" w:firstLineChars="200"/>
        <w:rPr>
          <w:rFonts w:ascii="仿宋" w:hAnsi="仿宋" w:eastAsia="仿宋"/>
          <w:sz w:val="32"/>
          <w:szCs w:val="32"/>
        </w:rPr>
      </w:pPr>
      <w:r>
        <w:rPr>
          <w:rFonts w:hint="eastAsia" w:ascii="仿宋" w:hAnsi="仿宋" w:eastAsia="仿宋"/>
          <w:sz w:val="32"/>
          <w:szCs w:val="32"/>
        </w:rPr>
        <w:t>筹资合规性</w:t>
      </w:r>
    </w:p>
    <w:p>
      <w:pPr>
        <w:spacing w:line="520" w:lineRule="exact"/>
        <w:rPr>
          <w:rFonts w:ascii="仿宋" w:hAnsi="仿宋" w:eastAsia="仿宋"/>
          <w:sz w:val="32"/>
          <w:szCs w:val="32"/>
        </w:rPr>
      </w:pPr>
      <w:r>
        <w:rPr>
          <w:rFonts w:hint="eastAsia" w:ascii="仿宋" w:hAnsi="仿宋" w:eastAsia="仿宋"/>
          <w:sz w:val="32"/>
          <w:szCs w:val="32"/>
        </w:rPr>
        <w:t xml:space="preserve">    考核部门（单位）筹资渠道是否符合法律法规规定，筹资结构是否合理，资金来源渠道是否明确，各渠道资金到位时间、条件是否能够落实，是否具有公共性，是否属于公共财政支持范围。筹资合规性分值12分。</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（3）立项必要性</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考核部门（单位）项目的立项必要性，即是否符合中央决策部署，是否符合省委、省政府的重点任务要求、发展规划、优先发展重点或部门的职能分工，事前是否经过必要的可行性研究、专家论证、风险评估、集体决策，经济、社会、环境或可持续性效益是否明显。立项必要性分值24分。</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（4）可持续性</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考核部门（单位）财力支持方面是否持续，组织管理机构是否可持续，运行机制是否可持续，预期产出及效果是否持续。可持续性分值8分。</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（5）实施方案可行性</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考核部门（单位）是否制定实施方案或计划，组织机构是否健全、职责分工是否明确，是否有具体的实施时间、工作程序，是否有针对突发事件或未知风险的应急措施，基础设施条件是否能够有效保障，是否具有相应的质量检查、验收等必要的控制措施或手段，资金能否足额保证。实施方案可行性分值16分。</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（6）投入经济性</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考核部门（单位）预算是否有漏项，预算测算是否有规范的支出标准依据，能否以较低成本实现绩效目标，是否有节约成本或杜绝浪费的措施，是否有提高预算使用效率的措施或预案。投入经济性分值10分。</w:t>
      </w:r>
    </w:p>
    <w:p>
      <w:pPr>
        <w:numPr>
          <w:ilvl w:val="0"/>
          <w:numId w:val="1"/>
        </w:numPr>
        <w:spacing w:line="52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绩效评价工作过程。</w:t>
      </w:r>
    </w:p>
    <w:p>
      <w:pPr>
        <w:spacing w:line="520" w:lineRule="exact"/>
        <w:ind w:firstLine="643" w:firstLineChars="200"/>
        <w:rPr>
          <w:rFonts w:ascii="仿宋" w:hAnsi="仿宋" w:eastAsia="仿宋"/>
          <w:b/>
          <w:bCs/>
          <w:sz w:val="32"/>
          <w:szCs w:val="32"/>
        </w:rPr>
      </w:pPr>
      <w:r>
        <w:rPr>
          <w:rFonts w:hint="eastAsia" w:ascii="仿宋" w:hAnsi="仿宋" w:eastAsia="仿宋"/>
          <w:b/>
          <w:bCs/>
          <w:sz w:val="32"/>
          <w:szCs w:val="32"/>
        </w:rPr>
        <w:t>1.前期准备阶段</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一是成立绩效评价小组，确定评价人员及各自职责分工；二是收集与评价项目有关文件及相关资料，对预算项目和资金的具体情况进行调研，并制定初步绩效评价方案。</w:t>
      </w:r>
    </w:p>
    <w:p>
      <w:pPr>
        <w:numPr>
          <w:ilvl w:val="0"/>
          <w:numId w:val="3"/>
        </w:numPr>
        <w:spacing w:line="520" w:lineRule="exact"/>
        <w:ind w:firstLine="643" w:firstLineChars="200"/>
        <w:rPr>
          <w:rFonts w:ascii="仿宋" w:hAnsi="仿宋" w:eastAsia="仿宋"/>
          <w:b/>
          <w:bCs/>
          <w:sz w:val="32"/>
          <w:szCs w:val="32"/>
        </w:rPr>
      </w:pPr>
      <w:r>
        <w:rPr>
          <w:rFonts w:hint="eastAsia" w:ascii="仿宋" w:hAnsi="仿宋" w:eastAsia="仿宋"/>
          <w:b/>
          <w:bCs/>
          <w:sz w:val="32"/>
          <w:szCs w:val="32"/>
        </w:rPr>
        <w:t>方案制定阶段</w:t>
      </w:r>
    </w:p>
    <w:p>
      <w:pPr>
        <w:spacing w:line="520" w:lineRule="exact"/>
        <w:rPr>
          <w:rFonts w:ascii="仿宋" w:hAnsi="仿宋" w:eastAsia="仿宋"/>
          <w:sz w:val="32"/>
          <w:szCs w:val="32"/>
        </w:rPr>
      </w:pPr>
      <w:r>
        <w:rPr>
          <w:rFonts w:hint="eastAsia" w:ascii="仿宋" w:hAnsi="仿宋" w:eastAsia="仿宋"/>
          <w:sz w:val="32"/>
          <w:szCs w:val="32"/>
        </w:rPr>
        <w:t xml:space="preserve">    包括评价的依据、目的、范围、对象、方法、指标体系等，评价指标体系主要包括各级指标及权重、评分细则及标准等。</w:t>
      </w:r>
    </w:p>
    <w:p>
      <w:pPr>
        <w:spacing w:line="520" w:lineRule="exact"/>
        <w:ind w:firstLine="643" w:firstLineChars="200"/>
        <w:rPr>
          <w:rFonts w:ascii="仿宋" w:hAnsi="仿宋" w:eastAsia="仿宋"/>
          <w:b/>
          <w:bCs/>
          <w:sz w:val="32"/>
          <w:szCs w:val="32"/>
        </w:rPr>
      </w:pPr>
      <w:r>
        <w:rPr>
          <w:rFonts w:hint="eastAsia" w:ascii="仿宋" w:hAnsi="仿宋" w:eastAsia="仿宋"/>
          <w:b/>
          <w:bCs/>
          <w:sz w:val="32"/>
          <w:szCs w:val="32"/>
        </w:rPr>
        <w:t>3.组织实施阶段</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评价人员采用定量分析和定性分析相结合的方法，明确现场核查的重点内容，根据设定的评价指标体系分析与研判，得出整体评价结论。</w:t>
      </w:r>
    </w:p>
    <w:p>
      <w:pPr>
        <w:spacing w:line="520" w:lineRule="exact"/>
        <w:ind w:firstLine="643" w:firstLineChars="200"/>
        <w:rPr>
          <w:rFonts w:ascii="仿宋" w:hAnsi="仿宋" w:eastAsia="仿宋"/>
          <w:b/>
          <w:bCs/>
          <w:sz w:val="32"/>
          <w:szCs w:val="32"/>
        </w:rPr>
      </w:pPr>
      <w:r>
        <w:rPr>
          <w:rFonts w:hint="eastAsia" w:ascii="仿宋" w:hAnsi="仿宋" w:eastAsia="仿宋"/>
          <w:b/>
          <w:bCs/>
          <w:sz w:val="32"/>
          <w:szCs w:val="32"/>
        </w:rPr>
        <w:t>4.报告形成阶段</w:t>
      </w:r>
    </w:p>
    <w:p>
      <w:pPr>
        <w:spacing w:line="520" w:lineRule="exact"/>
        <w:ind w:firstLine="640" w:firstLineChars="200"/>
      </w:pPr>
      <w:r>
        <w:rPr>
          <w:rFonts w:hint="eastAsia" w:ascii="仿宋" w:hAnsi="仿宋" w:eastAsia="仿宋"/>
          <w:sz w:val="32"/>
          <w:szCs w:val="32"/>
        </w:rPr>
        <w:t>评价组按照绩效评价原则和规范对评价过程中收集资料进行归纳、分析、汇总，依据设定的绩效评价指标体系进行评分，并撰写绩效评价报告。</w:t>
      </w: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三、综合评价情况及评价结论（附相关评分表）</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绩效评价结果的评分与对应如下：90-100分对应为“优”；80-90分（不含90分）对应为“良”；60-80分（不含80分）对应为“中”；60分以下（不含60分），对应为“差”，西藏昌都市财政局投资评审中介费绩效自评总分为100.00分，评级为“优”。具体如下：</w:t>
      </w:r>
    </w:p>
    <w:p>
      <w:pPr>
        <w:pStyle w:val="5"/>
        <w:spacing w:after="0" w:line="520" w:lineRule="exact"/>
        <w:ind w:left="0" w:leftChars="0" w:firstLine="0" w:firstLineChars="0"/>
        <w:rPr>
          <w:rFonts w:ascii="仿宋" w:hAnsi="仿宋" w:eastAsia="仿宋"/>
          <w:sz w:val="32"/>
          <w:szCs w:val="32"/>
        </w:rPr>
      </w:pPr>
    </w:p>
    <w:tbl>
      <w:tblPr>
        <w:tblStyle w:val="8"/>
        <w:tblW w:w="9390" w:type="dxa"/>
        <w:tblInd w:w="-459" w:type="dxa"/>
        <w:tblLayout w:type="fixed"/>
        <w:tblCellMar>
          <w:top w:w="0" w:type="dxa"/>
          <w:left w:w="108" w:type="dxa"/>
          <w:bottom w:w="0" w:type="dxa"/>
          <w:right w:w="108" w:type="dxa"/>
        </w:tblCellMar>
      </w:tblPr>
      <w:tblGrid>
        <w:gridCol w:w="671"/>
        <w:gridCol w:w="899"/>
        <w:gridCol w:w="936"/>
        <w:gridCol w:w="874"/>
        <w:gridCol w:w="898"/>
        <w:gridCol w:w="694"/>
        <w:gridCol w:w="848"/>
        <w:gridCol w:w="937"/>
        <w:gridCol w:w="874"/>
        <w:gridCol w:w="911"/>
        <w:gridCol w:w="848"/>
      </w:tblGrid>
      <w:tr>
        <w:tblPrEx>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项目名称</w:t>
            </w:r>
          </w:p>
        </w:tc>
        <w:tc>
          <w:tcPr>
            <w:tcW w:w="782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textAlignment w:val="center"/>
              <w:rPr>
                <w:rFonts w:ascii="仿宋_GB2312" w:hAnsi="宋体" w:eastAsia="仿宋_GB2312" w:cs="仿宋_GB2312"/>
                <w:color w:val="000000"/>
                <w:szCs w:val="21"/>
              </w:rPr>
            </w:pPr>
            <w:r>
              <w:rPr>
                <w:rFonts w:hint="eastAsia" w:ascii="仿宋_GB2312" w:hAnsi="宋体" w:eastAsia="仿宋_GB2312" w:cs="仿宋_GB2312"/>
                <w:color w:val="000000"/>
                <w:szCs w:val="21"/>
              </w:rPr>
              <w:t>投资评审中介费</w:t>
            </w:r>
          </w:p>
        </w:tc>
      </w:tr>
      <w:tr>
        <w:tblPrEx>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主管部门</w:t>
            </w:r>
          </w:p>
        </w:tc>
        <w:tc>
          <w:tcPr>
            <w:tcW w:w="4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实施单位</w:t>
            </w:r>
          </w:p>
        </w:tc>
        <w:tc>
          <w:tcPr>
            <w:tcW w:w="26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西藏昌都市财政局</w:t>
            </w:r>
          </w:p>
        </w:tc>
      </w:tr>
      <w:tr>
        <w:tblPrEx>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项目资金</w:t>
            </w: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年初预算数</w:t>
            </w: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全年预算数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全年执行数</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执行率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r>
      <w:tr>
        <w:tblPrEx>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（万元）</w:t>
            </w: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textAlignment w:val="center"/>
              <w:rPr>
                <w:rFonts w:ascii="宋体" w:hAnsi="宋体" w:cs="宋体"/>
                <w:color w:val="000000"/>
                <w:sz w:val="18"/>
                <w:szCs w:val="18"/>
              </w:rPr>
            </w:pPr>
            <w:r>
              <w:rPr>
                <w:rFonts w:hint="eastAsia" w:ascii="宋体" w:hAnsi="宋体" w:cs="宋体"/>
                <w:color w:val="000000"/>
                <w:kern w:val="0"/>
                <w:sz w:val="18"/>
                <w:szCs w:val="18"/>
              </w:rPr>
              <w:t>年度资金总额</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710</w:t>
            </w: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710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710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r>
      <w:tr>
        <w:tblPrEx>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rPr>
                <w:rFonts w:ascii="宋体" w:hAnsi="宋体" w:cs="宋体"/>
                <w:color w:val="000000"/>
                <w:sz w:val="24"/>
              </w:rPr>
            </w:pP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其中：当年财政拨款</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710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710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rPr>
                <w:rFonts w:ascii="宋体" w:hAnsi="宋体" w:cs="宋体"/>
                <w:color w:val="000000"/>
                <w:sz w:val="24"/>
              </w:rPr>
            </w:pP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Style w:val="9"/>
                <w:rFonts w:hint="default"/>
              </w:rPr>
              <w:t>上年结转资金</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trHeight w:val="315" w:hRule="atLeast"/>
        </w:trPr>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rPr>
                <w:rFonts w:ascii="宋体" w:hAnsi="宋体" w:cs="宋体"/>
                <w:color w:val="000000"/>
                <w:sz w:val="24"/>
              </w:rPr>
            </w:pPr>
          </w:p>
        </w:tc>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Style w:val="9"/>
                <w:rFonts w:hint="default"/>
              </w:rPr>
              <w:t>其他资金</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w:t>
            </w:r>
          </w:p>
        </w:tc>
      </w:tr>
      <w:tr>
        <w:tblPrEx>
          <w:tblLayout w:type="fixed"/>
          <w:tblCellMar>
            <w:top w:w="0" w:type="dxa"/>
            <w:left w:w="108" w:type="dxa"/>
            <w:bottom w:w="0" w:type="dxa"/>
            <w:right w:w="108" w:type="dxa"/>
          </w:tblCellMar>
        </w:tblPrEx>
        <w:trPr>
          <w:trHeight w:val="315" w:hRule="atLeast"/>
        </w:trPr>
        <w:tc>
          <w:tcPr>
            <w:tcW w:w="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年度总体目标</w:t>
            </w:r>
          </w:p>
        </w:tc>
        <w:tc>
          <w:tcPr>
            <w:tcW w:w="51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预期目标</w:t>
            </w:r>
          </w:p>
        </w:tc>
        <w:tc>
          <w:tcPr>
            <w:tcW w:w="35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实际完成情况</w:t>
            </w:r>
          </w:p>
        </w:tc>
      </w:tr>
      <w:tr>
        <w:tblPrEx>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51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加强昌都市财政投资评审管理，提高财政投资评审工作效率</w:t>
            </w:r>
          </w:p>
        </w:tc>
        <w:tc>
          <w:tcPr>
            <w:tcW w:w="35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完成年初目标</w:t>
            </w:r>
          </w:p>
        </w:tc>
      </w:tr>
      <w:tr>
        <w:tblPrEx>
          <w:tblLayout w:type="fixed"/>
          <w:tblCellMar>
            <w:top w:w="0" w:type="dxa"/>
            <w:left w:w="108" w:type="dxa"/>
            <w:bottom w:w="0" w:type="dxa"/>
            <w:right w:w="108" w:type="dxa"/>
          </w:tblCellMar>
        </w:tblPrEx>
        <w:trPr>
          <w:trHeight w:val="315" w:hRule="atLeast"/>
        </w:trPr>
        <w:tc>
          <w:tcPr>
            <w:tcW w:w="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绩效指标</w:t>
            </w: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一级指标</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二级指标</w:t>
            </w:r>
          </w:p>
        </w:tc>
        <w:tc>
          <w:tcPr>
            <w:tcW w:w="24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三级指标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年度</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实际</w:t>
            </w:r>
          </w:p>
        </w:tc>
        <w:tc>
          <w:tcPr>
            <w:tcW w:w="8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分值</w:t>
            </w:r>
          </w:p>
        </w:tc>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得分</w:t>
            </w:r>
          </w:p>
        </w:tc>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偏差原因分析及改进措施</w:t>
            </w: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24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指标值</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完成值</w:t>
            </w:r>
          </w:p>
        </w:tc>
        <w:tc>
          <w:tcPr>
            <w:tcW w:w="8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restart"/>
            <w:tcBorders>
              <w:top w:val="single" w:color="000000" w:sz="4" w:space="0"/>
              <w:left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产出指标（50分）</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数量指标</w:t>
            </w: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等线" w:hAnsi="宋体" w:eastAsia="等线" w:cs="宋体"/>
                <w:color w:val="000000"/>
                <w:sz w:val="18"/>
                <w:szCs w:val="18"/>
              </w:rPr>
            </w:pPr>
            <w:r>
              <w:rPr>
                <w:rFonts w:hint="eastAsia" w:ascii="等线" w:eastAsia="等线"/>
                <w:color w:val="000000"/>
                <w:sz w:val="18"/>
                <w:szCs w:val="18"/>
              </w:rPr>
              <w:t>评审项目完成率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96%</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left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r>
              <w:rPr>
                <w:rFonts w:hint="eastAsia" w:ascii="宋体" w:hAnsi="宋体" w:cs="宋体"/>
                <w:color w:val="000000"/>
                <w:sz w:val="18"/>
                <w:szCs w:val="18"/>
              </w:rPr>
              <w:t>成本指标</w:t>
            </w: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项目评审费用按标准及</w:t>
            </w:r>
          </w:p>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合同计费</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≤710万元</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710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left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时效指标</w:t>
            </w: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全年项目评审工作</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优良中低差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优</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left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6" w:type="dxa"/>
            <w:vMerge w:val="restart"/>
            <w:tcBorders>
              <w:top w:val="single" w:color="000000" w:sz="4" w:space="0"/>
              <w:left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r>
              <w:rPr>
                <w:rFonts w:hint="eastAsia" w:ascii="宋体" w:hAnsi="宋体" w:cs="宋体"/>
                <w:color w:val="000000"/>
                <w:sz w:val="18"/>
                <w:szCs w:val="18"/>
              </w:rPr>
              <w:t>质量指标</w:t>
            </w: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指标1：评审报告复审合理率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98%</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p>
        </w:tc>
        <w:tc>
          <w:tcPr>
            <w:tcW w:w="936"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指标2：项目评审平均审减率</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5.19%</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restart"/>
            <w:tcBorders>
              <w:top w:val="single" w:color="000000" w:sz="4" w:space="0"/>
              <w:left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效益指标（30分）</w:t>
            </w:r>
          </w:p>
        </w:tc>
        <w:tc>
          <w:tcPr>
            <w:tcW w:w="936" w:type="dxa"/>
            <w:vMerge w:val="restart"/>
            <w:tcBorders>
              <w:top w:val="single" w:color="000000" w:sz="4" w:space="0"/>
              <w:left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指标1：项目评审对财政投资管理</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好坏</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好</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left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p>
        </w:tc>
        <w:tc>
          <w:tcPr>
            <w:tcW w:w="936"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指标2：促进反腐倡廉、推动投融资体系改革</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优良中低差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优</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left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6" w:type="dxa"/>
            <w:vMerge w:val="restart"/>
            <w:tcBorders>
              <w:top w:val="single" w:color="000000" w:sz="4" w:space="0"/>
              <w:left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r>
              <w:rPr>
                <w:rFonts w:hint="eastAsia" w:ascii="宋体" w:hAnsi="宋体" w:cs="宋体"/>
                <w:color w:val="000000"/>
                <w:sz w:val="18"/>
                <w:szCs w:val="18"/>
              </w:rPr>
              <w:t>社会效益指标</w:t>
            </w: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指标1：社会影响力</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优良中低差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优</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left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6"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指标2：规范全市建筑市场</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优良中低差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优</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00"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r>
              <w:rPr>
                <w:rFonts w:hint="eastAsia" w:ascii="宋体" w:hAnsi="宋体" w:cs="宋体"/>
                <w:color w:val="000000"/>
                <w:sz w:val="18"/>
                <w:szCs w:val="18"/>
              </w:rPr>
              <w:t>经济效益指标</w:t>
            </w: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经济影响</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优良中低差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优</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满意度指标（20分）</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指标</w:t>
            </w: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指标1：</w:t>
            </w:r>
            <w:r>
              <w:rPr>
                <w:rStyle w:val="9"/>
                <w:rFonts w:hint="default"/>
              </w:rPr>
              <w:t>业主单位对中介公司专业度及工作态度认可</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98%</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15" w:hRule="atLeast"/>
        </w:trPr>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c>
          <w:tcPr>
            <w:tcW w:w="24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left"/>
              <w:textAlignment w:val="center"/>
              <w:rPr>
                <w:rFonts w:ascii="宋体" w:hAnsi="宋体" w:cs="宋体"/>
                <w:color w:val="000000"/>
                <w:sz w:val="18"/>
                <w:szCs w:val="18"/>
              </w:rPr>
            </w:pPr>
            <w:r>
              <w:rPr>
                <w:rFonts w:hint="eastAsia" w:ascii="宋体" w:hAnsi="宋体" w:cs="宋体"/>
                <w:color w:val="000000"/>
                <w:kern w:val="0"/>
                <w:sz w:val="18"/>
                <w:szCs w:val="18"/>
              </w:rPr>
              <w:t>指标2：施工单位对中介公司专业度及工作态度认可</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≥95%</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97%</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315" w:hRule="atLeast"/>
        </w:trPr>
        <w:tc>
          <w:tcPr>
            <w:tcW w:w="67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总分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2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20" w:lineRule="exact"/>
              <w:rPr>
                <w:rFonts w:ascii="宋体" w:hAnsi="宋体" w:cs="宋体"/>
                <w:color w:val="000000"/>
                <w:sz w:val="24"/>
              </w:rPr>
            </w:pPr>
          </w:p>
        </w:tc>
      </w:tr>
    </w:tbl>
    <w:p>
      <w:pPr>
        <w:pStyle w:val="5"/>
        <w:spacing w:after="0" w:line="520" w:lineRule="exact"/>
        <w:ind w:left="0" w:leftChars="0" w:firstLine="0" w:firstLineChars="0"/>
        <w:rPr>
          <w:rFonts w:ascii="仿宋" w:hAnsi="仿宋" w:eastAsia="仿宋"/>
          <w:sz w:val="32"/>
          <w:szCs w:val="32"/>
        </w:rPr>
      </w:pPr>
    </w:p>
    <w:p>
      <w:p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line="520" w:lineRule="exact"/>
        <w:ind w:firstLine="643" w:firstLineChars="200"/>
        <w:outlineLvl w:val="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（一）项目决策情况良好。</w:t>
      </w:r>
    </w:p>
    <w:p>
      <w:pPr>
        <w:pStyle w:val="5"/>
        <w:spacing w:after="0" w:line="520" w:lineRule="exact"/>
        <w:ind w:left="420" w:firstLine="640"/>
        <w:rPr>
          <w:rFonts w:ascii="仿宋" w:hAnsi="仿宋" w:eastAsia="仿宋"/>
          <w:sz w:val="32"/>
          <w:szCs w:val="32"/>
        </w:rPr>
      </w:pPr>
      <w:r>
        <w:rPr>
          <w:rFonts w:hint="eastAsia" w:ascii="仿宋" w:hAnsi="仿宋" w:eastAsia="仿宋"/>
          <w:sz w:val="32"/>
          <w:szCs w:val="32"/>
        </w:rPr>
        <w:t>1.部门申报的项目有进行可行性研究和充分论证，项目绩效目标合理、充分；</w:t>
      </w:r>
    </w:p>
    <w:p>
      <w:pPr>
        <w:pStyle w:val="5"/>
        <w:spacing w:after="0" w:line="520" w:lineRule="exact"/>
        <w:ind w:left="420" w:firstLine="640"/>
        <w:rPr>
          <w:rFonts w:ascii="仿宋" w:hAnsi="仿宋" w:eastAsia="仿宋"/>
          <w:sz w:val="32"/>
          <w:szCs w:val="32"/>
        </w:rPr>
      </w:pPr>
      <w:r>
        <w:rPr>
          <w:rFonts w:hint="eastAsia" w:ascii="仿宋" w:hAnsi="仿宋" w:eastAsia="仿宋"/>
          <w:sz w:val="32"/>
          <w:szCs w:val="32"/>
        </w:rPr>
        <w:t>2.项目目标完成率100%；</w:t>
      </w:r>
    </w:p>
    <w:p>
      <w:pPr>
        <w:pStyle w:val="5"/>
        <w:spacing w:after="0" w:line="520" w:lineRule="exact"/>
        <w:ind w:left="420" w:firstLine="640"/>
        <w:rPr>
          <w:rFonts w:ascii="仿宋" w:hAnsi="仿宋" w:eastAsia="仿宋"/>
          <w:sz w:val="32"/>
          <w:szCs w:val="32"/>
        </w:rPr>
      </w:pPr>
      <w:r>
        <w:rPr>
          <w:rFonts w:hint="eastAsia" w:ascii="仿宋" w:hAnsi="仿宋" w:eastAsia="仿宋"/>
          <w:sz w:val="32"/>
          <w:szCs w:val="32"/>
        </w:rPr>
        <w:t>3.资金分配合理和细化、功能分类和经济分类准确，预算编制合理；</w:t>
      </w:r>
    </w:p>
    <w:p>
      <w:pPr>
        <w:pStyle w:val="5"/>
        <w:spacing w:after="0" w:line="520" w:lineRule="exact"/>
        <w:ind w:left="420" w:firstLine="640"/>
        <w:rPr>
          <w:rFonts w:ascii="仿宋" w:hAnsi="仿宋" w:eastAsia="仿宋"/>
          <w:sz w:val="32"/>
          <w:szCs w:val="32"/>
        </w:rPr>
      </w:pPr>
      <w:r>
        <w:rPr>
          <w:rFonts w:hint="eastAsia" w:ascii="仿宋" w:hAnsi="仿宋" w:eastAsia="仿宋"/>
          <w:sz w:val="32"/>
          <w:szCs w:val="32"/>
        </w:rPr>
        <w:t>4.预算编制、分配符合本部门职责、符合市委市政府方针政策和工作要求预算编制合规。</w:t>
      </w:r>
    </w:p>
    <w:p>
      <w:pPr>
        <w:numPr>
          <w:ilvl w:val="0"/>
          <w:numId w:val="4"/>
        </w:numPr>
        <w:spacing w:line="520" w:lineRule="exact"/>
        <w:ind w:firstLine="643" w:firstLineChars="200"/>
        <w:outlineLvl w:val="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项目过程情况。</w:t>
      </w:r>
    </w:p>
    <w:p>
      <w:pPr>
        <w:pStyle w:val="5"/>
        <w:spacing w:after="0" w:line="520" w:lineRule="exact"/>
        <w:ind w:left="420" w:firstLine="640"/>
        <w:rPr>
          <w:rFonts w:ascii="仿宋" w:hAnsi="仿宋" w:eastAsia="仿宋"/>
          <w:sz w:val="32"/>
          <w:szCs w:val="32"/>
        </w:rPr>
      </w:pPr>
      <w:r>
        <w:rPr>
          <w:rFonts w:hint="eastAsia" w:ascii="仿宋" w:hAnsi="仿宋" w:eastAsia="仿宋"/>
          <w:sz w:val="32"/>
          <w:szCs w:val="32"/>
        </w:rPr>
        <w:t>1.项目项目实施程序合规，项目实施过程符合申报条件。</w:t>
      </w:r>
    </w:p>
    <w:p>
      <w:pPr>
        <w:pStyle w:val="5"/>
        <w:spacing w:after="0" w:line="520" w:lineRule="exact"/>
        <w:ind w:left="420" w:firstLine="64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项目监管到位性</w:t>
      </w:r>
      <w:r>
        <w:rPr>
          <w:rFonts w:hint="eastAsia" w:ascii="仿宋" w:hAnsi="仿宋" w:eastAsia="仿宋"/>
          <w:sz w:val="32"/>
          <w:szCs w:val="32"/>
        </w:rPr>
        <w:t>，对所实施项目监控、督促、管理等情况良好。</w:t>
      </w:r>
    </w:p>
    <w:p>
      <w:pPr>
        <w:pStyle w:val="5"/>
        <w:spacing w:after="0" w:line="520" w:lineRule="exact"/>
        <w:ind w:left="1050" w:leftChars="500" w:firstLine="0" w:firstLineChars="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预算资金支出率</w:t>
      </w:r>
      <w:r>
        <w:rPr>
          <w:rFonts w:hint="eastAsia" w:ascii="仿宋" w:hAnsi="仿宋" w:eastAsia="仿宋"/>
          <w:sz w:val="32"/>
          <w:szCs w:val="32"/>
        </w:rPr>
        <w:t>为100%；</w:t>
      </w:r>
    </w:p>
    <w:p>
      <w:pPr>
        <w:pStyle w:val="5"/>
        <w:spacing w:after="0" w:line="520" w:lineRule="exact"/>
        <w:ind w:left="1050" w:leftChars="500" w:firstLine="0" w:firstLineChars="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预算资金到位率</w:t>
      </w:r>
      <w:r>
        <w:rPr>
          <w:rFonts w:hint="eastAsia" w:ascii="仿宋" w:hAnsi="仿宋" w:eastAsia="仿宋"/>
          <w:sz w:val="32"/>
          <w:szCs w:val="32"/>
        </w:rPr>
        <w:t>为100%。</w:t>
      </w:r>
    </w:p>
    <w:p>
      <w:pPr>
        <w:numPr>
          <w:ilvl w:val="0"/>
          <w:numId w:val="4"/>
        </w:numPr>
        <w:spacing w:line="520" w:lineRule="exact"/>
        <w:ind w:firstLine="643" w:firstLineChars="200"/>
        <w:outlineLvl w:val="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项目产出情况。</w:t>
      </w:r>
    </w:p>
    <w:p>
      <w:pPr>
        <w:pStyle w:val="5"/>
        <w:spacing w:after="0" w:line="520" w:lineRule="exact"/>
        <w:ind w:left="840" w:leftChars="400" w:firstLine="0" w:firstLineChars="0"/>
        <w:rPr>
          <w:rFonts w:ascii="仿宋" w:hAnsi="仿宋" w:eastAsia="仿宋"/>
          <w:sz w:val="32"/>
          <w:szCs w:val="32"/>
        </w:rPr>
      </w:pPr>
      <w:r>
        <w:rPr>
          <w:rFonts w:hint="eastAsia" w:ascii="仿宋" w:hAnsi="仿宋" w:eastAsia="仿宋"/>
          <w:sz w:val="32"/>
          <w:szCs w:val="32"/>
        </w:rPr>
        <w:t xml:space="preserve">  1.数量指标</w:t>
      </w:r>
    </w:p>
    <w:p>
      <w:pPr>
        <w:pStyle w:val="5"/>
        <w:spacing w:after="0" w:line="520" w:lineRule="exact"/>
        <w:ind w:left="840" w:leftChars="400" w:firstLine="320" w:firstLineChars="100"/>
        <w:rPr>
          <w:rFonts w:ascii="仿宋" w:hAnsi="仿宋" w:eastAsia="仿宋"/>
          <w:sz w:val="32"/>
          <w:szCs w:val="32"/>
        </w:rPr>
      </w:pPr>
      <w:r>
        <w:rPr>
          <w:rFonts w:hint="eastAsia" w:ascii="仿宋" w:hAnsi="仿宋" w:eastAsia="仿宋"/>
          <w:sz w:val="32"/>
          <w:szCs w:val="32"/>
        </w:rPr>
        <w:t>所有评审项目基本 完成。</w:t>
      </w:r>
    </w:p>
    <w:p>
      <w:pPr>
        <w:pStyle w:val="5"/>
        <w:spacing w:after="0" w:line="520" w:lineRule="exact"/>
        <w:ind w:left="840" w:leftChars="400" w:firstLine="0" w:firstLineChars="0"/>
        <w:rPr>
          <w:rFonts w:ascii="仿宋" w:hAnsi="仿宋" w:eastAsia="仿宋"/>
          <w:sz w:val="32"/>
          <w:szCs w:val="32"/>
        </w:rPr>
      </w:pPr>
      <w:r>
        <w:rPr>
          <w:rFonts w:hint="eastAsia" w:ascii="仿宋" w:hAnsi="仿宋" w:eastAsia="仿宋"/>
          <w:sz w:val="32"/>
          <w:szCs w:val="32"/>
        </w:rPr>
        <w:t xml:space="preserve">  2.质量指标</w:t>
      </w:r>
    </w:p>
    <w:p>
      <w:pPr>
        <w:pStyle w:val="5"/>
        <w:spacing w:after="0" w:line="520" w:lineRule="exact"/>
        <w:ind w:left="840" w:leftChars="400" w:firstLine="0" w:firstLineChars="0"/>
        <w:rPr>
          <w:rFonts w:ascii="仿宋" w:hAnsi="仿宋" w:eastAsia="仿宋"/>
          <w:sz w:val="32"/>
          <w:szCs w:val="32"/>
        </w:rPr>
      </w:pPr>
      <w:r>
        <w:rPr>
          <w:rFonts w:hint="eastAsia" w:ascii="仿宋" w:hAnsi="仿宋" w:eastAsia="仿宋"/>
          <w:sz w:val="32"/>
          <w:szCs w:val="32"/>
        </w:rPr>
        <w:t xml:space="preserve">  合理出具评审报告，节约政府投资。</w:t>
      </w:r>
    </w:p>
    <w:p>
      <w:pPr>
        <w:pStyle w:val="5"/>
        <w:spacing w:after="0" w:line="520" w:lineRule="exact"/>
        <w:ind w:left="840" w:leftChars="400" w:firstLine="0" w:firstLineChars="0"/>
        <w:rPr>
          <w:rFonts w:ascii="仿宋" w:hAnsi="仿宋" w:eastAsia="仿宋"/>
          <w:sz w:val="32"/>
          <w:szCs w:val="32"/>
        </w:rPr>
      </w:pPr>
      <w:r>
        <w:rPr>
          <w:rFonts w:hint="eastAsia" w:ascii="仿宋" w:hAnsi="仿宋" w:eastAsia="仿宋"/>
          <w:sz w:val="32"/>
          <w:szCs w:val="32"/>
        </w:rPr>
        <w:t xml:space="preserve">  3.时效指标</w:t>
      </w:r>
    </w:p>
    <w:p>
      <w:pPr>
        <w:pStyle w:val="5"/>
        <w:spacing w:after="0" w:line="520" w:lineRule="exact"/>
        <w:ind w:left="840" w:leftChars="400" w:firstLine="320" w:firstLineChars="100"/>
        <w:rPr>
          <w:rFonts w:ascii="仿宋" w:hAnsi="仿宋" w:eastAsia="仿宋"/>
          <w:sz w:val="32"/>
          <w:szCs w:val="32"/>
        </w:rPr>
      </w:pPr>
      <w:r>
        <w:rPr>
          <w:rFonts w:hint="eastAsia" w:ascii="仿宋" w:hAnsi="仿宋" w:eastAsia="仿宋"/>
          <w:sz w:val="32"/>
          <w:szCs w:val="32"/>
        </w:rPr>
        <w:t>按时完成全年项目评审工作。</w:t>
      </w:r>
    </w:p>
    <w:p>
      <w:pPr>
        <w:pStyle w:val="5"/>
        <w:spacing w:after="0" w:line="520" w:lineRule="exact"/>
        <w:ind w:left="840" w:leftChars="400" w:firstLine="0" w:firstLineChars="0"/>
        <w:rPr>
          <w:rFonts w:ascii="仿宋" w:hAnsi="仿宋" w:eastAsia="仿宋"/>
          <w:sz w:val="32"/>
          <w:szCs w:val="32"/>
        </w:rPr>
      </w:pPr>
      <w:r>
        <w:rPr>
          <w:rFonts w:hint="eastAsia" w:ascii="仿宋" w:hAnsi="仿宋" w:eastAsia="仿宋"/>
          <w:sz w:val="32"/>
          <w:szCs w:val="32"/>
        </w:rPr>
        <w:t xml:space="preserve">  4.成本指标</w:t>
      </w:r>
    </w:p>
    <w:p>
      <w:pPr>
        <w:pStyle w:val="5"/>
        <w:spacing w:after="0" w:line="520" w:lineRule="exact"/>
        <w:ind w:left="840" w:leftChars="400" w:firstLine="320" w:firstLineChars="100"/>
        <w:rPr>
          <w:rFonts w:ascii="仿宋" w:hAnsi="仿宋" w:eastAsia="仿宋"/>
          <w:sz w:val="32"/>
          <w:szCs w:val="32"/>
        </w:rPr>
      </w:pPr>
      <w:r>
        <w:rPr>
          <w:rFonts w:hint="eastAsia" w:ascii="仿宋" w:hAnsi="仿宋" w:eastAsia="仿宋"/>
          <w:sz w:val="32"/>
          <w:szCs w:val="32"/>
        </w:rPr>
        <w:t>支付投资评审中介费用710万元。</w:t>
      </w:r>
    </w:p>
    <w:p>
      <w:pPr>
        <w:spacing w:line="520" w:lineRule="exact"/>
        <w:ind w:left="420" w:leftChars="200"/>
        <w:outlineLvl w:val="0"/>
        <w:rPr>
          <w:rFonts w:ascii="仿宋" w:hAnsi="仿宋" w:eastAsia="仿宋"/>
          <w:sz w:val="32"/>
          <w:szCs w:val="32"/>
        </w:rPr>
      </w:pPr>
      <w:r>
        <w:rPr>
          <w:rFonts w:hint="eastAsia" w:ascii="楷体_GB2312" w:hAnsi="楷体_GB2312" w:eastAsia="楷体_GB2312" w:cs="楷体_GB2312"/>
          <w:b/>
          <w:bCs/>
          <w:sz w:val="32"/>
          <w:szCs w:val="32"/>
        </w:rPr>
        <w:t>（四）项目效益情况。</w:t>
      </w:r>
    </w:p>
    <w:p>
      <w:pPr>
        <w:spacing w:line="520" w:lineRule="exact"/>
        <w:ind w:firstLine="800" w:firstLineChars="250"/>
        <w:jc w:val="left"/>
        <w:outlineLvl w:val="0"/>
        <w:rPr>
          <w:rFonts w:ascii="仿宋" w:hAnsi="仿宋" w:eastAsia="仿宋"/>
          <w:sz w:val="32"/>
          <w:szCs w:val="32"/>
        </w:rPr>
      </w:pPr>
      <w:r>
        <w:rPr>
          <w:rFonts w:hint="eastAsia" w:ascii="仿宋" w:hAnsi="仿宋" w:eastAsia="仿宋"/>
          <w:sz w:val="32"/>
          <w:szCs w:val="32"/>
        </w:rPr>
        <w:t>1.经济效益指标，有利建立长效机制。</w:t>
      </w:r>
    </w:p>
    <w:p>
      <w:pPr>
        <w:spacing w:line="520" w:lineRule="exact"/>
        <w:ind w:firstLine="800" w:firstLineChars="250"/>
        <w:jc w:val="left"/>
        <w:outlineLvl w:val="0"/>
        <w:rPr>
          <w:rFonts w:ascii="仿宋" w:hAnsi="仿宋" w:eastAsia="仿宋"/>
          <w:sz w:val="32"/>
          <w:szCs w:val="32"/>
        </w:rPr>
      </w:pPr>
      <w:r>
        <w:rPr>
          <w:rFonts w:hint="eastAsia" w:ascii="仿宋" w:hAnsi="仿宋" w:eastAsia="仿宋"/>
          <w:sz w:val="32"/>
          <w:szCs w:val="32"/>
        </w:rPr>
        <w:t>2.社会效益指标，规范财政投资评审行为。</w:t>
      </w:r>
    </w:p>
    <w:p>
      <w:pPr>
        <w:spacing w:line="520" w:lineRule="exact"/>
        <w:ind w:firstLine="800" w:firstLineChars="250"/>
        <w:jc w:val="left"/>
        <w:outlineLvl w:val="0"/>
        <w:rPr>
          <w:rFonts w:ascii="仿宋" w:hAnsi="仿宋" w:eastAsia="仿宋"/>
          <w:sz w:val="32"/>
          <w:szCs w:val="32"/>
        </w:rPr>
      </w:pPr>
      <w:r>
        <w:rPr>
          <w:rFonts w:hint="eastAsia" w:ascii="仿宋" w:hAnsi="仿宋" w:eastAsia="仿宋"/>
          <w:sz w:val="32"/>
          <w:szCs w:val="32"/>
        </w:rPr>
        <w:t>3.可持续影响指标，提高财政投资评审工作效率。</w:t>
      </w:r>
    </w:p>
    <w:p>
      <w:pPr>
        <w:numPr>
          <w:ilvl w:val="0"/>
          <w:numId w:val="5"/>
        </w:num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主要经验及做法、存在的问题及原因分析</w:t>
      </w:r>
    </w:p>
    <w:p>
      <w:pPr>
        <w:pStyle w:val="5"/>
        <w:spacing w:after="0" w:line="520" w:lineRule="exact"/>
        <w:ind w:left="0" w:leftChars="0" w:firstLine="960" w:firstLineChars="300"/>
        <w:rPr>
          <w:rFonts w:ascii="仿宋" w:hAnsi="仿宋" w:eastAsia="仿宋"/>
          <w:sz w:val="32"/>
          <w:szCs w:val="32"/>
        </w:rPr>
      </w:pPr>
      <w:r>
        <w:rPr>
          <w:rFonts w:hint="eastAsia" w:ascii="仿宋" w:hAnsi="仿宋" w:eastAsia="仿宋"/>
          <w:sz w:val="32"/>
          <w:szCs w:val="32"/>
        </w:rPr>
        <w:t>绩效目标完成率为100%。</w:t>
      </w:r>
    </w:p>
    <w:p>
      <w:pPr>
        <w:numPr>
          <w:ilvl w:val="0"/>
          <w:numId w:val="5"/>
        </w:numPr>
        <w:spacing w:line="520" w:lineRule="exact"/>
        <w:ind w:firstLine="640" w:firstLineChars="200"/>
        <w:rPr>
          <w:rFonts w:ascii="黑体" w:hAnsi="黑体" w:eastAsia="黑体" w:cs="黑体"/>
          <w:sz w:val="32"/>
          <w:szCs w:val="32"/>
        </w:rPr>
      </w:pPr>
      <w:r>
        <w:rPr>
          <w:rFonts w:hint="eastAsia" w:ascii="黑体" w:hAnsi="黑体" w:eastAsia="黑体" w:cs="黑体"/>
          <w:sz w:val="32"/>
          <w:szCs w:val="32"/>
        </w:rPr>
        <w:t>有关建议</w:t>
      </w:r>
    </w:p>
    <w:p>
      <w:pPr>
        <w:pStyle w:val="5"/>
        <w:spacing w:after="0" w:line="520" w:lineRule="exact"/>
        <w:ind w:left="0" w:leftChars="0" w:firstLine="960" w:firstLineChars="300"/>
        <w:rPr>
          <w:rFonts w:ascii="仿宋" w:hAnsi="仿宋" w:eastAsia="仿宋"/>
          <w:sz w:val="32"/>
          <w:szCs w:val="32"/>
        </w:rPr>
      </w:pPr>
      <w:r>
        <w:rPr>
          <w:rFonts w:hint="eastAsia" w:ascii="仿宋" w:hAnsi="仿宋" w:eastAsia="仿宋"/>
          <w:sz w:val="32"/>
          <w:szCs w:val="32"/>
        </w:rPr>
        <w:t>无。</w:t>
      </w:r>
    </w:p>
    <w:p>
      <w:pPr>
        <w:pStyle w:val="5"/>
        <w:spacing w:after="0" w:line="520" w:lineRule="exact"/>
        <w:ind w:left="0" w:leftChars="0" w:firstLine="640"/>
        <w:rPr>
          <w:rFonts w:ascii="仿宋" w:hAnsi="仿宋" w:eastAsia="仿宋"/>
          <w:b/>
          <w:bCs/>
          <w:sz w:val="32"/>
          <w:szCs w:val="32"/>
        </w:rPr>
      </w:pPr>
      <w:r>
        <w:rPr>
          <w:rFonts w:hint="eastAsia" w:ascii="黑体" w:hAnsi="黑体" w:eastAsia="黑体" w:cs="黑体"/>
          <w:sz w:val="32"/>
          <w:szCs w:val="32"/>
        </w:rPr>
        <w:t>七、其他需要说明的问题</w:t>
      </w:r>
    </w:p>
    <w:p>
      <w:pPr>
        <w:spacing w:line="520" w:lineRule="exact"/>
        <w:ind w:firstLine="960" w:firstLineChars="300"/>
        <w:rPr>
          <w:rFonts w:ascii="黑体" w:hAnsi="黑体" w:eastAsia="黑体"/>
          <w:sz w:val="32"/>
          <w:szCs w:val="32"/>
        </w:rPr>
      </w:pPr>
      <w:r>
        <w:rPr>
          <w:rFonts w:hint="eastAsia" w:ascii="仿宋" w:hAnsi="仿宋" w:eastAsia="仿宋"/>
          <w:sz w:val="32"/>
          <w:szCs w:val="32"/>
        </w:rPr>
        <w:t>无。</w:t>
      </w:r>
    </w:p>
    <w:p>
      <w:pPr>
        <w:spacing w:line="520" w:lineRule="exact"/>
        <w:rPr>
          <w:rFonts w:ascii="黑体" w:hAnsi="黑体" w:eastAsia="黑体"/>
          <w:sz w:val="32"/>
          <w:szCs w:val="32"/>
        </w:rPr>
      </w:pPr>
    </w:p>
    <w:p>
      <w:pPr>
        <w:spacing w:line="520" w:lineRule="exact"/>
        <w:jc w:val="right"/>
        <w:rPr>
          <w:rFonts w:ascii="仿宋" w:hAnsi="仿宋" w:eastAsia="仿宋"/>
          <w:sz w:val="32"/>
          <w:szCs w:val="32"/>
        </w:rPr>
      </w:pPr>
      <w:r>
        <w:rPr>
          <w:rFonts w:hint="eastAsia" w:ascii="仿宋" w:hAnsi="仿宋" w:eastAsia="仿宋"/>
          <w:sz w:val="32"/>
          <w:szCs w:val="32"/>
        </w:rPr>
        <w:t>西藏昌都市财政局</w:t>
      </w:r>
    </w:p>
    <w:p>
      <w:pPr>
        <w:spacing w:line="520" w:lineRule="exact"/>
        <w:jc w:val="right"/>
        <w:rPr>
          <w:rFonts w:ascii="仿宋" w:hAnsi="仿宋" w:eastAsia="仿宋"/>
          <w:sz w:val="32"/>
          <w:szCs w:val="32"/>
        </w:rPr>
      </w:pPr>
      <w:r>
        <w:rPr>
          <w:rFonts w:hint="eastAsia" w:ascii="仿宋" w:hAnsi="仿宋" w:eastAsia="仿宋"/>
          <w:sz w:val="32"/>
          <w:szCs w:val="32"/>
        </w:rPr>
        <w:t>2024年3月19日</w:t>
      </w:r>
    </w:p>
    <w:p>
      <w:pPr>
        <w:spacing w:line="52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0000000000000000000"/>
    <w:charset w:val="86"/>
    <w:family w:val="roman"/>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文星简大标宋">
    <w:panose1 w:val="02010609000101010101"/>
    <w:charset w:val="00"/>
    <w:family w:val="auto"/>
    <w:pitch w:val="default"/>
    <w:sig w:usb0="00000001" w:usb1="080E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A95016"/>
    <w:multiLevelType w:val="singleLevel"/>
    <w:tmpl w:val="A7A95016"/>
    <w:lvl w:ilvl="0" w:tentative="0">
      <w:start w:val="2"/>
      <w:numFmt w:val="chineseCounting"/>
      <w:suff w:val="nothing"/>
      <w:lvlText w:val="（%1）"/>
      <w:lvlJc w:val="left"/>
      <w:rPr>
        <w:rFonts w:hint="eastAsia"/>
      </w:rPr>
    </w:lvl>
  </w:abstractNum>
  <w:abstractNum w:abstractNumId="1">
    <w:nsid w:val="C553187E"/>
    <w:multiLevelType w:val="singleLevel"/>
    <w:tmpl w:val="C553187E"/>
    <w:lvl w:ilvl="0" w:tentative="0">
      <w:start w:val="5"/>
      <w:numFmt w:val="chineseCounting"/>
      <w:suff w:val="nothing"/>
      <w:lvlText w:val="%1、"/>
      <w:lvlJc w:val="left"/>
      <w:rPr>
        <w:rFonts w:hint="eastAsia"/>
      </w:rPr>
    </w:lvl>
  </w:abstractNum>
  <w:abstractNum w:abstractNumId="2">
    <w:nsid w:val="E6301D3C"/>
    <w:multiLevelType w:val="singleLevel"/>
    <w:tmpl w:val="E6301D3C"/>
    <w:lvl w:ilvl="0" w:tentative="0">
      <w:start w:val="2"/>
      <w:numFmt w:val="chineseCounting"/>
      <w:suff w:val="nothing"/>
      <w:lvlText w:val="（%1）"/>
      <w:lvlJc w:val="left"/>
      <w:rPr>
        <w:rFonts w:hint="eastAsia"/>
      </w:rPr>
    </w:lvl>
  </w:abstractNum>
  <w:abstractNum w:abstractNumId="3">
    <w:nsid w:val="628DFDA4"/>
    <w:multiLevelType w:val="singleLevel"/>
    <w:tmpl w:val="628DFDA4"/>
    <w:lvl w:ilvl="0" w:tentative="0">
      <w:start w:val="2"/>
      <w:numFmt w:val="decimal"/>
      <w:suff w:val="nothing"/>
      <w:lvlText w:val="%1."/>
      <w:lvlJc w:val="left"/>
    </w:lvl>
  </w:abstractNum>
  <w:abstractNum w:abstractNumId="4">
    <w:nsid w:val="628ED9AF"/>
    <w:multiLevelType w:val="singleLevel"/>
    <w:tmpl w:val="628ED9AF"/>
    <w:lvl w:ilvl="0" w:tentative="0">
      <w:start w:val="2"/>
      <w:numFmt w:val="decimal"/>
      <w:suff w:val="nothing"/>
      <w:lvlText w:val="（%1）"/>
      <w:lvlJc w:val="left"/>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NkOWYxOTE3YmVlOGI5ZTFjMDZjNGQ5MDdmY2U4ODcifQ=="/>
  </w:docVars>
  <w:rsids>
    <w:rsidRoot w:val="00DA4728"/>
    <w:rsid w:val="0019407A"/>
    <w:rsid w:val="00217E5A"/>
    <w:rsid w:val="003675BF"/>
    <w:rsid w:val="003F5ACD"/>
    <w:rsid w:val="00470B61"/>
    <w:rsid w:val="004B3D9C"/>
    <w:rsid w:val="004E2775"/>
    <w:rsid w:val="00576EA5"/>
    <w:rsid w:val="005B244F"/>
    <w:rsid w:val="008D6288"/>
    <w:rsid w:val="008F40F2"/>
    <w:rsid w:val="009B3173"/>
    <w:rsid w:val="009E2F61"/>
    <w:rsid w:val="00AF08B3"/>
    <w:rsid w:val="00C16538"/>
    <w:rsid w:val="00D303B5"/>
    <w:rsid w:val="00DA4728"/>
    <w:rsid w:val="00DD2C7E"/>
    <w:rsid w:val="00F861F2"/>
    <w:rsid w:val="01EB64F4"/>
    <w:rsid w:val="13A929D1"/>
    <w:rsid w:val="14210808"/>
    <w:rsid w:val="1B630182"/>
    <w:rsid w:val="1BF75C32"/>
    <w:rsid w:val="2A6C2345"/>
    <w:rsid w:val="33084251"/>
    <w:rsid w:val="378E4F6A"/>
    <w:rsid w:val="56D253C3"/>
    <w:rsid w:val="7B9653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next w:val="1"/>
    <w:qFormat/>
    <w:uiPriority w:val="0"/>
    <w:pPr>
      <w:spacing w:after="120"/>
      <w:ind w:left="20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2"/>
    <w:basedOn w:val="3"/>
    <w:qFormat/>
    <w:uiPriority w:val="0"/>
    <w:pPr>
      <w:ind w:firstLine="200" w:firstLineChars="200"/>
    </w:p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font11"/>
    <w:basedOn w:val="7"/>
    <w:qFormat/>
    <w:uiPriority w:val="0"/>
    <w:rPr>
      <w:rFonts w:hint="eastAsia" w:ascii="宋体" w:hAnsi="宋体" w:eastAsia="宋体" w:cs="宋体"/>
      <w:color w:val="000000"/>
      <w:sz w:val="18"/>
      <w:szCs w:val="18"/>
      <w:u w:val="none"/>
    </w:rPr>
  </w:style>
  <w:style w:type="character" w:customStyle="1" w:styleId="10">
    <w:name w:val="font21"/>
    <w:basedOn w:val="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531</Words>
  <Characters>3032</Characters>
  <Lines>25</Lines>
  <Paragraphs>7</Paragraphs>
  <TotalTime>0</TotalTime>
  <ScaleCrop>false</ScaleCrop>
  <LinksUpToDate>false</LinksUpToDate>
  <CharactersWithSpaces>3556</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2022-05-24T08:23:00Z</dcterms:created>
  <dc:creator>Administrator</dc:creator>
  <cp:lastModifiedBy>CN=昌都收发室/OU=办公室/OU=昌都市财政局/OU=西藏自治区财政厅/O=TIBET</cp:lastModifiedBy>
  <cp:lastPrinted>2023-03-23T01:29:00Z</cp:lastPrinted>
  <dcterms:modified xsi:type="dcterms:W3CDTF">2024-09-09T02:34:38Z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4C5949162D834423B412B21A2A2B425E_12</vt:lpwstr>
  </property>
</Properties>
</file>