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华文中宋" w:hAnsi="华文中宋" w:eastAsia="华文中宋" w:cs="华文中宋"/>
          <w:sz w:val="36"/>
          <w:szCs w:val="36"/>
        </w:rPr>
      </w:pPr>
    </w:p>
    <w:p>
      <w:pPr>
        <w:snapToGrid w:val="0"/>
        <w:jc w:val="center"/>
        <w:rPr>
          <w:rFonts w:ascii="华文中宋" w:hAnsi="华文中宋" w:eastAsia="华文中宋" w:cs="华文中宋"/>
          <w:sz w:val="36"/>
          <w:szCs w:val="36"/>
        </w:rPr>
      </w:pPr>
    </w:p>
    <w:p>
      <w:pPr>
        <w:snapToGrid w:val="0"/>
        <w:jc w:val="center"/>
        <w:rPr>
          <w:rFonts w:ascii="华文中宋" w:hAnsi="华文中宋" w:eastAsia="华文中宋" w:cs="华文中宋"/>
          <w:sz w:val="36"/>
          <w:szCs w:val="36"/>
        </w:rPr>
      </w:pPr>
    </w:p>
    <w:p>
      <w:pPr>
        <w:snapToGrid w:val="0"/>
        <w:jc w:val="center"/>
        <w:rPr>
          <w:rFonts w:ascii="华文中宋" w:hAnsi="华文中宋" w:eastAsia="华文中宋" w:cs="华文中宋"/>
          <w:sz w:val="36"/>
          <w:szCs w:val="36"/>
        </w:rPr>
      </w:pPr>
    </w:p>
    <w:p>
      <w:pPr>
        <w:snapToGrid w:val="0"/>
        <w:rPr>
          <w:rFonts w:ascii="华文中宋" w:hAnsi="华文中宋" w:eastAsia="华文中宋" w:cs="华文中宋"/>
          <w:sz w:val="36"/>
          <w:szCs w:val="36"/>
        </w:rPr>
      </w:pPr>
    </w:p>
    <w:p>
      <w:pPr>
        <w:snapToGrid w:val="0"/>
        <w:jc w:val="center"/>
        <w:rPr>
          <w:rFonts w:ascii="华文中宋" w:hAnsi="华文中宋" w:eastAsia="华文中宋" w:cs="华文中宋"/>
          <w:sz w:val="36"/>
          <w:szCs w:val="36"/>
        </w:rPr>
      </w:pPr>
    </w:p>
    <w:p>
      <w:pPr>
        <w:snapToGrid w:val="0"/>
        <w:jc w:val="center"/>
        <w:rPr>
          <w:rFonts w:ascii="华文中宋" w:hAnsi="华文中宋" w:eastAsia="华文中宋" w:cs="华文中宋"/>
          <w:sz w:val="36"/>
          <w:szCs w:val="36"/>
        </w:rPr>
      </w:pPr>
    </w:p>
    <w:p>
      <w:pPr>
        <w:snapToGrid w:val="0"/>
        <w:jc w:val="center"/>
        <w:rPr>
          <w:rFonts w:ascii="华文中宋" w:hAnsi="华文中宋" w:eastAsia="华文中宋" w:cs="华文中宋"/>
          <w:sz w:val="36"/>
          <w:szCs w:val="36"/>
        </w:rPr>
      </w:pPr>
    </w:p>
    <w:p>
      <w:pPr>
        <w:snapToGrid w:val="0"/>
        <w:jc w:val="center"/>
        <w:rPr>
          <w:rFonts w:ascii="华文中宋" w:hAnsi="华文中宋" w:eastAsia="华文中宋" w:cs="华文中宋"/>
          <w:b/>
          <w:bCs/>
          <w:sz w:val="56"/>
          <w:szCs w:val="56"/>
        </w:rPr>
      </w:pPr>
      <w:r>
        <w:rPr>
          <w:rFonts w:hint="eastAsia" w:ascii="华文中宋" w:hAnsi="华文中宋" w:eastAsia="华文中宋" w:cs="华文中宋"/>
          <w:b/>
          <w:bCs/>
          <w:sz w:val="56"/>
          <w:szCs w:val="56"/>
        </w:rPr>
        <w:t>2021年度部门决算分析报告</w:t>
      </w:r>
    </w:p>
    <w:p>
      <w:pPr>
        <w:snapToGrid w:val="0"/>
        <w:jc w:val="center"/>
        <w:rPr>
          <w:rFonts w:ascii="华文中宋" w:hAnsi="华文中宋" w:eastAsia="华文中宋" w:cs="华文中宋"/>
          <w:sz w:val="36"/>
          <w:szCs w:val="36"/>
        </w:rPr>
      </w:pPr>
    </w:p>
    <w:p>
      <w:pPr>
        <w:snapToGrid w:val="0"/>
        <w:jc w:val="center"/>
        <w:rPr>
          <w:rFonts w:ascii="华文中宋" w:hAnsi="华文中宋" w:eastAsia="华文中宋" w:cs="华文中宋"/>
          <w:sz w:val="36"/>
          <w:szCs w:val="36"/>
        </w:rPr>
      </w:pPr>
      <w:r>
        <w:rPr>
          <w:rFonts w:hint="eastAsia" w:ascii="华文中宋" w:hAnsi="华文中宋" w:eastAsia="华文中宋" w:cs="华文中宋"/>
          <w:sz w:val="36"/>
          <w:szCs w:val="36"/>
        </w:rPr>
        <w:t>西藏昌都市财政局</w:t>
      </w:r>
    </w:p>
    <w:p>
      <w:pPr>
        <w:snapToGrid w:val="0"/>
        <w:jc w:val="center"/>
        <w:rPr>
          <w:rFonts w:ascii="华文中宋" w:hAnsi="华文中宋" w:eastAsia="华文中宋" w:cs="华文中宋"/>
          <w:sz w:val="36"/>
          <w:szCs w:val="36"/>
        </w:rPr>
      </w:pPr>
    </w:p>
    <w:p>
      <w:pPr>
        <w:snapToGrid w:val="0"/>
        <w:jc w:val="center"/>
        <w:rPr>
          <w:rFonts w:ascii="华文中宋" w:hAnsi="华文中宋" w:eastAsia="华文中宋" w:cs="华文中宋"/>
          <w:sz w:val="36"/>
          <w:szCs w:val="36"/>
        </w:rPr>
      </w:pPr>
    </w:p>
    <w:p>
      <w:pPr>
        <w:snapToGrid w:val="0"/>
        <w:jc w:val="center"/>
        <w:rPr>
          <w:rFonts w:ascii="华文中宋" w:hAnsi="华文中宋" w:eastAsia="华文中宋" w:cs="华文中宋"/>
          <w:sz w:val="36"/>
          <w:szCs w:val="36"/>
        </w:rPr>
      </w:pPr>
    </w:p>
    <w:p>
      <w:pPr>
        <w:snapToGrid w:val="0"/>
        <w:jc w:val="center"/>
        <w:rPr>
          <w:rFonts w:ascii="华文中宋" w:hAnsi="华文中宋" w:eastAsia="华文中宋" w:cs="华文中宋"/>
          <w:sz w:val="36"/>
          <w:szCs w:val="36"/>
        </w:rPr>
      </w:pPr>
    </w:p>
    <w:p>
      <w:pPr>
        <w:snapToGrid w:val="0"/>
        <w:jc w:val="center"/>
        <w:rPr>
          <w:rFonts w:ascii="华文中宋" w:hAnsi="华文中宋" w:eastAsia="华文中宋" w:cs="华文中宋"/>
          <w:sz w:val="36"/>
          <w:szCs w:val="36"/>
        </w:rPr>
      </w:pPr>
    </w:p>
    <w:p>
      <w:pPr>
        <w:snapToGrid w:val="0"/>
        <w:jc w:val="center"/>
        <w:rPr>
          <w:rFonts w:ascii="华文中宋" w:hAnsi="华文中宋" w:eastAsia="华文中宋" w:cs="华文中宋"/>
          <w:sz w:val="36"/>
          <w:szCs w:val="36"/>
        </w:rPr>
      </w:pPr>
    </w:p>
    <w:p>
      <w:pPr>
        <w:snapToGrid w:val="0"/>
        <w:jc w:val="center"/>
        <w:rPr>
          <w:rFonts w:ascii="华文中宋" w:hAnsi="华文中宋" w:eastAsia="华文中宋" w:cs="华文中宋"/>
          <w:sz w:val="36"/>
          <w:szCs w:val="36"/>
        </w:rPr>
      </w:pPr>
    </w:p>
    <w:p>
      <w:pPr>
        <w:snapToGrid w:val="0"/>
        <w:jc w:val="center"/>
        <w:rPr>
          <w:rFonts w:ascii="华文中宋" w:hAnsi="华文中宋" w:eastAsia="华文中宋" w:cs="华文中宋"/>
          <w:sz w:val="36"/>
          <w:szCs w:val="36"/>
        </w:rPr>
      </w:pPr>
    </w:p>
    <w:p>
      <w:pPr>
        <w:snapToGrid w:val="0"/>
        <w:jc w:val="center"/>
        <w:rPr>
          <w:rFonts w:ascii="华文中宋" w:hAnsi="华文中宋" w:eastAsia="华文中宋" w:cs="华文中宋"/>
          <w:sz w:val="36"/>
          <w:szCs w:val="36"/>
        </w:rPr>
      </w:pPr>
    </w:p>
    <w:p>
      <w:pPr>
        <w:snapToGrid w:val="0"/>
        <w:jc w:val="center"/>
        <w:rPr>
          <w:rFonts w:ascii="华文中宋" w:hAnsi="华文中宋" w:eastAsia="华文中宋" w:cs="华文中宋"/>
          <w:sz w:val="36"/>
          <w:szCs w:val="36"/>
        </w:rPr>
      </w:pPr>
    </w:p>
    <w:p>
      <w:pPr>
        <w:snapToGrid w:val="0"/>
        <w:jc w:val="center"/>
        <w:rPr>
          <w:rFonts w:ascii="华文中宋" w:hAnsi="华文中宋" w:eastAsia="华文中宋" w:cs="华文中宋"/>
          <w:sz w:val="36"/>
          <w:szCs w:val="36"/>
        </w:rPr>
      </w:pPr>
    </w:p>
    <w:p>
      <w:pPr>
        <w:snapToGrid w:val="0"/>
        <w:jc w:val="center"/>
        <w:rPr>
          <w:rFonts w:ascii="华文中宋" w:hAnsi="华文中宋" w:eastAsia="华文中宋" w:cs="华文中宋"/>
          <w:sz w:val="36"/>
          <w:szCs w:val="36"/>
        </w:rPr>
      </w:pPr>
    </w:p>
    <w:p>
      <w:pPr>
        <w:snapToGrid w:val="0"/>
        <w:jc w:val="center"/>
        <w:rPr>
          <w:rFonts w:ascii="华文中宋" w:hAnsi="华文中宋" w:eastAsia="华文中宋" w:cs="华文中宋"/>
          <w:sz w:val="36"/>
          <w:szCs w:val="36"/>
        </w:rPr>
      </w:pPr>
    </w:p>
    <w:p>
      <w:pPr>
        <w:snapToGrid w:val="0"/>
        <w:jc w:val="center"/>
        <w:rPr>
          <w:rFonts w:ascii="华文中宋" w:hAnsi="华文中宋" w:eastAsia="华文中宋" w:cs="华文中宋"/>
          <w:sz w:val="36"/>
          <w:szCs w:val="36"/>
        </w:rPr>
      </w:pPr>
    </w:p>
    <w:p>
      <w:pPr>
        <w:snapToGrid w:val="0"/>
        <w:jc w:val="center"/>
        <w:rPr>
          <w:rFonts w:ascii="华文中宋" w:hAnsi="华文中宋" w:eastAsia="华文中宋" w:cs="华文中宋"/>
          <w:sz w:val="36"/>
          <w:szCs w:val="36"/>
        </w:rPr>
      </w:pPr>
    </w:p>
    <w:p>
      <w:pPr>
        <w:snapToGrid w:val="0"/>
        <w:jc w:val="center"/>
        <w:rPr>
          <w:rFonts w:ascii="华文中宋" w:hAnsi="华文中宋" w:eastAsia="华文中宋" w:cs="华文中宋"/>
          <w:sz w:val="36"/>
          <w:szCs w:val="36"/>
        </w:rPr>
        <w:sectPr>
          <w:pgSz w:w="11906" w:h="16838"/>
          <w:pgMar w:top="1440" w:right="1800" w:bottom="1440" w:left="1800" w:header="851" w:footer="992" w:gutter="0"/>
          <w:cols w:space="425" w:num="1"/>
          <w:docGrid w:type="lines" w:linePitch="312" w:charSpace="0"/>
        </w:sectPr>
      </w:pPr>
    </w:p>
    <w:p>
      <w:pPr>
        <w:snapToGrid w:val="0"/>
        <w:jc w:val="center"/>
        <w:rPr>
          <w:rFonts w:ascii="华文中宋" w:hAnsi="华文中宋" w:eastAsia="华文中宋" w:cs="华文中宋"/>
          <w:sz w:val="36"/>
          <w:szCs w:val="36"/>
        </w:rPr>
      </w:pPr>
      <w:r>
        <w:rPr>
          <w:rFonts w:ascii="华文中宋" w:hAnsi="华文中宋" w:eastAsia="华文中宋" w:cs="华文中宋"/>
          <w:sz w:val="36"/>
          <w:szCs w:val="36"/>
        </w:rPr>
        <w:t>2021年度部门决算分析报告</w:t>
      </w:r>
    </w:p>
    <w:p>
      <w:pPr>
        <w:snapToGrid w:val="0"/>
        <w:rPr>
          <w:rFonts w:ascii="仿宋_GB2312" w:hAnsi="仿宋" w:eastAsia="仿宋_GB2312" w:cs="仿宋_GB2312"/>
          <w:sz w:val="32"/>
          <w:szCs w:val="32"/>
        </w:rPr>
      </w:pPr>
    </w:p>
    <w:p>
      <w:pPr>
        <w:snapToGrid w:val="0"/>
        <w:spacing w:line="520" w:lineRule="exact"/>
        <w:ind w:firstLine="640" w:firstLineChars="200"/>
        <w:rPr>
          <w:rFonts w:ascii="黑体" w:hAnsi="宋体" w:eastAsia="黑体" w:cs="黑体"/>
          <w:sz w:val="32"/>
          <w:szCs w:val="32"/>
        </w:rPr>
      </w:pPr>
      <w:r>
        <w:rPr>
          <w:rFonts w:hint="eastAsia" w:ascii="黑体" w:hAnsi="宋体" w:eastAsia="黑体" w:cs="黑体"/>
          <w:sz w:val="32"/>
          <w:szCs w:val="32"/>
        </w:rPr>
        <w:t>一、单位情况</w:t>
      </w:r>
    </w:p>
    <w:p>
      <w:pPr>
        <w:snapToGrid w:val="0"/>
        <w:spacing w:line="520" w:lineRule="exact"/>
        <w:ind w:firstLine="643" w:firstLineChars="200"/>
        <w:rPr>
          <w:rFonts w:ascii="楷体" w:hAnsi="楷体" w:eastAsia="楷体" w:cs="楷体_GB2312"/>
          <w:b/>
          <w:sz w:val="32"/>
          <w:szCs w:val="32"/>
        </w:rPr>
      </w:pPr>
      <w:r>
        <w:rPr>
          <w:rFonts w:hint="eastAsia" w:ascii="楷体" w:hAnsi="楷体" w:eastAsia="楷体" w:cs="楷体_GB2312"/>
          <w:b/>
          <w:sz w:val="32"/>
          <w:szCs w:val="32"/>
        </w:rPr>
        <w:t>（一）基本情况。</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1．主要职能。</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（1）</w:t>
      </w:r>
      <w:r>
        <w:rPr>
          <w:rFonts w:hint="eastAsia" w:ascii="仿宋" w:hAnsi="仿宋" w:eastAsia="仿宋" w:cs="仿宋"/>
          <w:sz w:val="32"/>
          <w:szCs w:val="32"/>
        </w:rPr>
        <w:t>贯彻执行国家、自治区财政税收有关方针政策和法律法规，</w:t>
      </w:r>
      <w:r>
        <w:rPr>
          <w:rFonts w:hint="eastAsia" w:ascii="仿宋" w:hAnsi="仿宋" w:eastAsia="仿宋" w:cs="仿宋"/>
          <w:sz w:val="30"/>
          <w:szCs w:val="30"/>
        </w:rPr>
        <w:t>拟订全市财税发展规划和改革方案并组织实施；分析预测宏观经济形势，参与制定全市宏观经济政策，提出运用财税政策宏观调控和综合平衡社会财力的建议；贯彻执行鼓励公益事业发展的财税政策；贯彻执行财政、财务、会计、有关国有资产管理等地方性法规。</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 xml:space="preserve">（2）负责市本级各项财政收支管理；编制年度市本级预决算草案并组织执行；受市人民政府委托，向市人民代表大会及其常委会报告全市和市本级年度预算、执行和决算情况；组织制定经费开支标准、定额，审核批复部门（单位）的年度预决算；负责政府投资基金市财政出资的预算管理和国有资产管理；组织实施市本级政府预决算公开；改革完善市一级对县（区）财政管理体制；指导县（区）财政管理工作。 </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 xml:space="preserve">（3）按分工负责政府非税收入管理；负责政府性基金管理，按规定管理行政事业性收费；管理财政票据；贯彻执行全市彩票管理制度和办法；监管彩票市场；按规定管理彩票资金。 </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 xml:space="preserve">（4）组织实施国库管理制度、国库集中收付制度；指导实施国库业务；按规定开展国库现金管理工作；组织编制并上报政府财务报告；负责政府采购制度的制定、执行，拟订年度全市政府集中采购目录和采购限额标准，负责政府采购管理相关工作；根据全市信息化建设战略，拟订财政信息化建设中长期规划，规范管理全市财政信息化建设。 </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 xml:space="preserve">（5）负责地方政府债务管理；拟订和执行地方政府债务管理的制度、政策；负责地方政府债务余额限额管理，组织开展地方债券发行等工作；承担国外贷款管理有关工作。 </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6）牵头编制国有资产管理情况报告；根据市人民政府授权，集中统一履行市所属国有金融资本出资人职责，代表市人民政府对国有企业履行出资人职责；负责拟订市行政事业单位国有资产管理制度并组织实施，执行统一规定的开支标准和支出政策。</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 xml:space="preserve">（7）负责审核并汇总编制全市国有资本经营预决算草案，监督执行国有资本经营预算的制度和办法，收取市本级企业国有资本收益；指导各县（区）国有资本经营预算工作；贯彻落实企业财务制度和企业财务会计报告编制办法；按规定权限管理金融类企业国有资产；参与拟订国有企业管理相关制度；依法管理资产评估工作。 </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 xml:space="preserve">（8）贯彻执行社会保险政策；会同有关部门拟订和执行社会保险资金（基金）财政补助政策和财务管理制度，管理社会保险资金（基金）收支、投资运营和保值增值工作；审核汇总编制全市社会保险基金预决算草案；管理全市相关的财政社会保险资金，就业及医疗卫生专项资金支出，承担社会保险基金财政监管工作。 </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 xml:space="preserve">（9）负责管理市财政的经济发展支出、市本级政府性投资项目的财政拨款；贯彻执行基建投资有关政策，制定基建财务管理制度；负责有关政策性补贴和专项储备资金财政管理工作；负责市本级农牧业综合开发资金管理工作，参与农牧业综合开发项目相关工作。 </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（10）会同有关部门拟订国有土地、矿产等国有资源收入政策，参与国有土地、矿产等国有资源使用政策的研究和制度革；参与住房保障政策研究，管理住房改革预算资金。</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 xml:space="preserve">（11）负责管理全市会计工作，监督和规范会计行为，组织实施国家统一的会计制度，指导和监督注册会计师、会计师事务所、代理记账行业的业务，指导和管理社会审计；办理相关行政许可事项的审批和注册备案工作。 </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 xml:space="preserve">（12）监督财税法规政策的执行情况、预算管理工作，监测财政运行等情况，反映财政收支管理中的重大问题，提出加强财政管理的政策建议，依法依规处理财政违法违规行为。 </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 xml:space="preserve">（13）承办市委、市政府交办的其他任务。 </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 xml:space="preserve">（14）职能转变。 </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 xml:space="preserve">①完善宏观调控体系，创新调控方式，构建发展规划、财政、金融等政策协调和工作协同机制，强化经济监测预测预警能力，建立健全重大问题研究和政策储备工作机制，增强宏观调控前瞻性、针对性、协同性。 </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②深化财税体制改革。加快建立现代财政制度，推进财政事权和支出责任划分改革，理顺市级和县（区）收入划分，建立权责清晰、财力协调、区域均衡的市级与县（区）财政关系。完善转移支付制度，优化转移支付分类，规范转移支付项目。逐步统一预算分配，建立全面规范透明、标准科学、约束有力的预算制度，全面实施绩效管理。全面推行政府性基金和行政事业性收费清单管理，完善监督制度。深化税收制度改革，健全地方税体系。</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 xml:space="preserve">③防范化解地方政府债务风险。规范举债融资机制，构建“闭环”管理体系，严控法定限额内债务风险，着力防控隐性债务风险，牢牢守住不发生系统性风险的底线。 </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 xml:space="preserve">④全面实施预算绩效管理。研究建立全方位、全过程、全覆盖的预算绩效管理体系，实现预算和绩效一体化。 </w:t>
      </w:r>
    </w:p>
    <w:p>
      <w:pPr>
        <w:spacing w:line="576" w:lineRule="exact"/>
        <w:ind w:firstLine="639" w:firstLineChars="213"/>
        <w:rPr>
          <w:rFonts w:ascii="仿宋" w:hAnsi="仿宋" w:eastAsia="仿宋" w:cs="仿宋"/>
          <w:sz w:val="30"/>
          <w:szCs w:val="30"/>
        </w:rPr>
      </w:pPr>
      <w:r>
        <w:rPr>
          <w:rFonts w:hint="eastAsia" w:ascii="仿宋" w:hAnsi="仿宋" w:eastAsia="仿宋" w:cs="仿宋"/>
          <w:sz w:val="30"/>
          <w:szCs w:val="30"/>
        </w:rPr>
        <w:t xml:space="preserve">（15）有关职责分工。 </w:t>
      </w:r>
    </w:p>
    <w:p>
      <w:pPr>
        <w:spacing w:line="576" w:lineRule="exact"/>
        <w:ind w:firstLine="639" w:firstLineChars="213"/>
        <w:rPr>
          <w:rFonts w:ascii="仿宋_GB2312" w:hAnsi="仿宋" w:eastAsia="仿宋_GB2312"/>
          <w:sz w:val="32"/>
          <w:szCs w:val="32"/>
        </w:rPr>
      </w:pPr>
      <w:r>
        <w:rPr>
          <w:rFonts w:hint="eastAsia" w:ascii="仿宋" w:hAnsi="仿宋" w:eastAsia="仿宋" w:cs="仿宋"/>
          <w:sz w:val="30"/>
          <w:szCs w:val="30"/>
        </w:rPr>
        <w:t xml:space="preserve">非税收入管理职责分工。市财政局负责制定和组织实施非税收入国库集中收缴等各项管理制度，负责非税收入账户、收缴方式、退付退库等管理。国家税务总局昌都市税务局等执收部门按照非税收入国库集中收缴等有关规定，负责做好非税收入申报征收、会计与统计核算、缴费检查、欠费追缴和违法处罚等工作，与市财政局及时共享有关非税收入项目收缴信息。 </w:t>
      </w:r>
    </w:p>
    <w:p>
      <w:pPr>
        <w:snapToGrid w:val="0"/>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2．机构情况。</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办公室。负责机关日常运转，承担机要、文电、档案、信息、信访、新闻宣传、安全保密、政务督查、政务公开等工作；负责机关财务、政府采购、国有资产管理、内部审计等工作；负责局机关和所属事业单位的干部人事、机构编制、劳动工资、队伍建设和离退休人员管理服务等工作；指导全市财政系统人才队伍建设和教育培训工作；负责局机关和所属事业单位的党群工作。</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2）综合科。分析预测全市宏观经济形势，提出宏观调控政策建议，提出中长期财政规划建议；研究全市财政经济重大问题，提出修改、完善地方财税法规制度的政策建议，提出财政支持相关领域改革发展的建议；拟订和执行政府相关非税收入管理政策制度；负责相关规范性文件合法性审查工作，承担重大行政处罚听证、行政应诉、行政复议，组织财政普法工作；承担全市行政事业性收费项目管理工作；组织拟订政府购买服务制度；承担全市财政票据及彩票市场监管工作；承担外国政府贷（赠）款管理工作；承担清理规范全市机关事业单位干部职工津贴补贴有关工作；参与全市事业单位改革工作；参与全市编制管理工作；承担全市民生政策资金兑现落实情况的监督检查工作，承担市农村综合改革办公室财政政策相关工作；承办国家赔偿费用管理工作，承担财政政策与货币政策协调配合的相关调研工作；组织财政科研课题研究、评审工作，管理财政科研经费，指导各县（区）财政经济政策研究工作。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3）预算科（教育科）。承担教育部门经费预算和相关领域预算支出管理等有关工作，提出相关财政政策建议；承担教育经费保障机制改革工作；提出财政政策、财政体制、预算管理制度建议；编制市本级年度预决算草案和预算调整方案，组织市本级一般公共预算、政府性基金预算、国有资本经营预算、社会保险基金预算的编制、审核等工作；组织编制全市中期财政规划；提出增收节支和平衡财政收支的政策措施和建议；组织市本级部门支出标准体系建设及项目库管理工作；完善对县（区）财政管理体制和转移支付制度；指导市本级部门和各县（区）预决算信息公开工作。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4）债务管理科。拟订和执行市地方政府债务管理的制度和政策；负责地方政府债务余额限额管理、预算管理、预警管理、风险监控、统计分析、定期报告、信息公开等工作；负责地方债的发行兑付、还本付息及资金使用监管工作；组织指导市本级部门、县（区）政府债务管理；承担市政府性债务管理领导小组办公室的日常工作。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5）绩效科。组织实施预算绩效管理工作，拟订和执行预算绩效管理政策、制度、办法、共性绩效指标和标准体系；组织开展预算绩效目标管理、绩效运行监控、绩效评价管理、评价结果运用、绩效信息公开等工作；指导和考核市本级部门、下级财政部门预算绩效管理工作。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6）国库科（市政府采购管理办公室）。拟订市本级国库管理和国库集中收付制度并组织实施；负责非税收入的收缴工作；组织预算执行监控及分析预测，编审财政总决算、部门决算；组织编制政府财务报告；管理财政和预算单位账户，承担国库现金管理有关工作；负责总会计核算，组织、指导县（区）政府总会计工作；拟订和执行政府采购制度；拟订年度全市政府集中采购目录和采购限额标准；负责政府采购管理相关工作；负责协调人行国库、商业银行之间工作关系；拟订财政信息化建设发展规划和管理办法，规范管理和指导全市财政信息化建设；建设和监督管理网络和信息安全保障体系；负责全市财政、财务系统的网络监管工作；指导各县（区）财政信息化工作。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7）经济建设科。贯彻执行有关建设投资和资源环境的财政政策；拟订并组织实施基本建设财务管理制度；负责办理和监督政府性投资项目的财政拨款及其管理；负责有关政策性补贴和矿产资源调查、地质灾害治理、矿山环境恢复、土地复垦环境保护、节能减排等方面专项资金财政管理；监督项目实施中资金的管理使用和资金配套到位情况。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8）行政政法科。承担宣传、科技、文化、旅游、体育、行政、外事、国际发展、经贸合作、政法、武警部门和市法院、市检察院等方面的部门预算和相关领域预算支出管理等有关工作，提出相关财政政策建议；拟订事业单位通用的财务管理制度，研究提出财政支持教科文事业改革与发展的政策和优化事业单位支出结构的建议；拟定行政性经费财务管理制度，提出开支标准和定额；组织贯彻《行政单位财务规则》；参与拟订有关财政资金管理制度、经费开支标准、行业发展规划及改革等措施；会同相关部门提出政法转移支付资金分配方案，加强政法转移支付资金的监督管理和绩效考核；指导县（区）政法经费保障相关工作。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9）社会保障科。承担市财政社会保障管理工作，研究提出财政支持社会保障的政策建议；参与制订全市社会保障制度改革研究与政策；承担人力资源和社会保障、民政、卫生健康、退役军人事务、医疗保障、残疾人等方面的部门预算和相关领域预算支出有关管理工作；参与以上部门的行业发展规划及相关政策、制度、办法的研定；拟定有关资金财务管理制度；参与汇总审核全市社会保险基金预决算；指导县（区）财政部门社会保障财政、财务管理工作。</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10）农业农村科。承担农业农村、水利、气象、扶贫、自然资源、生态环境、林业草原和地勘等方面的部门预算和相关领域预算支出有关工作，提出促进资源节约、土地整治、生态保护修复、污染防治、核与辐射安全、测绘、国家公园建设等方面的相关财政政策建议；拟订财政支持农业改革与发展政策，推进相关政策落实；承担财政支持实施乡村振兴战略相关工作；统筹安排财政扶贫资金；提出有关农村综合改革政策措施建议；参与制定市农业项目管理办法和政策；参与拟订自然资源和生态环境领域的发展规划、政策等。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11）资产管理科。贯彻执行国家行政事业单位国有资产管理规章制度和企业财务制度，拟订市级行政事业单位及企业国有资产管理制度并组织实施；负责市本级行政事业单位及企业国有资产管理工作；负责编制全市国有资本经营预决算草案；负责组织编报全市国有资产和企业财务会计报告；推进全市行政事业单位经营性国有资产集中统一监管工作；落实国有资产管理情况报告工作；承担资产评估管理相关工作；负责对开发区、园区的财政管理工作。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12）金融科。拟订地方财政金融政策；承担财政政策与金融监管、金融体制改革协调配合工作；贯彻执行国有金融资本管理规章制度，承担市本级国有金融资本出资人相关工作；承担金融方面预算有关工作；贯彻执行金融类企业财务制度；承担政府外债有关管理工作；负责公共服务领域政府和社会资本合作制度建设。 </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13）会计监督科。宣传贯彻并组织实施国家统一的会计法律法规和会计制度，提出全市会计改革和发展的政策建议；承担全市会计专业技术资格考试工作；承担全市会计人才队伍建设及会计人员培训工作；承担会计师事务所审批工作，指导和管理全市注册会计师、会计师事务所、代理记账机构业务工作；指导推进全市行政事业单位内部控制工作；承担全市财税法规和政策执行情况、预算管理有关监督工作；承担全市会计信息质量、注册会计师和资产评估行业执业质量有关监督检查工作；承担预算绩效评价有关工作；负责财政内部控制工作。</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14）市财政国库集中支付中心。负责市级财政国库集中支付及支付会计核算工作；办理财政零余额账户和预算单位零余额账户；与代理银行签订协议，监督代理银行办理财政资金直接支付与授权支付业务，结算代理银行代理费用；受理预算单位及收款人投诉；承办市财政局交办的其他事项。</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15）市预算编审中心（市财政信息中心）。负责市级部门预算编制基础数据资料的动态管理、数据库更新和预算编审工作，并负责预算编审培训工作；协助开展财政预算改革宣传工作；拟定财政系统信息化建设中长期规划和具体实施办法并组织实施；组织实施财政业务系统软件开发、推广、应用、维护工作；负责财政系统网络安全管理、维护工作；承办市财政局交办的其他事项。</w:t>
      </w:r>
    </w:p>
    <w:p>
      <w:pPr>
        <w:spacing w:line="576" w:lineRule="exact"/>
        <w:ind w:firstLine="640" w:firstLineChars="200"/>
        <w:rPr>
          <w:rFonts w:ascii="仿宋" w:hAnsi="仿宋" w:eastAsia="仿宋" w:cs="仿宋"/>
          <w:sz w:val="32"/>
          <w:szCs w:val="32"/>
        </w:rPr>
      </w:pPr>
      <w:r>
        <w:rPr>
          <w:rFonts w:hint="eastAsia" w:ascii="仿宋" w:hAnsi="仿宋" w:eastAsia="仿宋" w:cs="仿宋"/>
          <w:sz w:val="32"/>
          <w:szCs w:val="32"/>
        </w:rPr>
        <w:t>（16）市财政投资评审中心。负责全市财政投资项目预（概）算、决（结）算的审核，工程项目绩效评价、专项资金核查等工作；负责自治区财政厅委托的财政投资项目的审核工作；承办市财政局交办的其他事项。</w:t>
      </w:r>
    </w:p>
    <w:p>
      <w:pPr>
        <w:spacing w:line="576" w:lineRule="exact"/>
        <w:ind w:firstLine="640" w:firstLineChars="200"/>
        <w:rPr>
          <w:rFonts w:ascii="仿宋_GB2312" w:hAnsi="仿宋" w:eastAsia="仿宋_GB2312" w:cs="仿宋_GB2312"/>
          <w:sz w:val="32"/>
          <w:szCs w:val="32"/>
        </w:rPr>
      </w:pPr>
      <w:r>
        <w:rPr>
          <w:rFonts w:hint="eastAsia" w:ascii="仿宋" w:hAnsi="仿宋" w:eastAsia="仿宋" w:cs="仿宋"/>
          <w:sz w:val="32"/>
          <w:szCs w:val="32"/>
        </w:rPr>
        <w:t>（17）市国有资产评估中心。负责全市国有资产产权变动时，其基准日公允价值的评估工作；参与政府采购相关工作；承办市财政局交办的其他事项。</w:t>
      </w:r>
    </w:p>
    <w:p>
      <w:pPr>
        <w:spacing w:line="576" w:lineRule="exact"/>
        <w:ind w:firstLine="640" w:firstLineChars="200"/>
        <w:rPr>
          <w:rFonts w:ascii="仿宋_GB2312" w:hAnsi="仿宋" w:eastAsia="仿宋_GB2312"/>
          <w:sz w:val="32"/>
          <w:szCs w:val="32"/>
        </w:rPr>
      </w:pPr>
      <w:r>
        <w:rPr>
          <w:rFonts w:hint="eastAsia" w:ascii="仿宋_GB2312" w:hAnsi="仿宋" w:eastAsia="仿宋_GB2312"/>
          <w:sz w:val="32"/>
          <w:szCs w:val="32"/>
        </w:rPr>
        <w:t>3．人员情况。</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市财政局机关行政编制31名，事业编制26名，机关后勤服务事业编制3名。现实有机关行政编制人员27名，参照公务员法管理事业人员16名，非参公事业人员5名，机关后勤服务人员3名。2021年度，退休2人，调离4人，调入1人，考录3人。</w:t>
      </w:r>
    </w:p>
    <w:p>
      <w:pPr>
        <w:snapToGrid w:val="0"/>
        <w:spacing w:line="520" w:lineRule="exact"/>
        <w:ind w:firstLine="643" w:firstLineChars="200"/>
        <w:rPr>
          <w:rFonts w:ascii="楷体" w:hAnsi="楷体" w:eastAsia="楷体" w:cs="楷体_GB2312"/>
          <w:b/>
          <w:sz w:val="32"/>
          <w:szCs w:val="32"/>
        </w:rPr>
      </w:pPr>
      <w:r>
        <w:rPr>
          <w:rFonts w:hint="eastAsia" w:ascii="楷体" w:hAnsi="楷体" w:eastAsia="楷体" w:cs="楷体_GB2312"/>
          <w:b/>
          <w:sz w:val="32"/>
          <w:szCs w:val="32"/>
        </w:rPr>
        <w:t>（二）当年取得的主要事业成效。</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一是充分发挥“两个作用”。以促进党建工作与财政业务深度融合为抓手，紧紧围绕市委、市政府工作大局，按照“积极的财政政策要更加积极有为”的要求，充分发挥党组织战斗堡垒作用和党员干部先锋模范作用，扎实做好“六稳”工作、落实“六保”任务，全力以赴兜牢民生底线、稳步扎实推进财政各项工作。二是狠抓财政收支。坚持强化收入征管，做到应收尽收，2021年全市一般公共预算收入完成20.34亿元，同比增加2.08亿元，增长11%。同时，坚决落实过紧日子的财政方针，坚持当好“铁公鸡”、打好“铁算盘”，积极优化支出结构，坚持以收定支、节用裕民，大幅压减“三公经费”和低效无效支出，全面清理调整项目支出。严格控制预算追加，除疫情防控、应急救灾、“三保”支出外，预算执行中原则上不予追加，在部门预算限额以内，优先通过动用机动经费和调整结构等方式解决，有效缓解增支压力。2021年全市一般公共预算支出231.21亿元，同比减少43.05万元，下降15%。财政收支总体运行平稳。三是兜牢“三保”底线。坚持把“三保”支出放在预算安排和资金拨付的首位，严格按照中央和自治区确定的范围和标准，足额落实“三保”支出，2021年安排地方标准“三保”预算共计130.09亿元，其中：保工资资金77.74亿元（含西藏特殊津贴增资部分），保运转资金15.52亿元，保基本民生资金36.83亿元。四是推进乡村振兴。严格落实“四个不摘”要求，确保财政投入保持总体稳定，将巩固拓展脱贫攻坚成果摆在财政支农突出位置，持续发挥政府投入在巩固拓展脱贫攻坚成果同乡村振兴有效衔接中的主体和主导作用。2021年度，全市统筹整合使用财政涉农资金27.34亿元（涉及交通、水利、产业项目291个，生态岗位18.5万个）。五是强化绩效管理。牢固树立绩效理念，做到“花钱必问效、无效必问责”。据第三方机构绩效评价结果，2021年部门预算安排项目数量较上年减少388个，2021年部门预算安排项目资金10.97亿元较上年减少4.12亿元，降幅达到27.3%。全市一般性支出、非刚性、非重点项目支出压减力度持续加大。六是积极化解债务风险。2018年8月底，自治区认定我市地方政府隐性债务为119.08亿元,近三年采取统筹预算资金偿还、盘活资产资源、经营类项目收益和地方政府债券置换等措施累计化解政府隐性债务62.56亿元，未新增任何政府隐性债务。截至目前，政府隐性债务余额为56.52亿元，债务等级为“绿色”安全区间。</w:t>
      </w:r>
    </w:p>
    <w:p>
      <w:pPr>
        <w:snapToGrid w:val="0"/>
        <w:spacing w:line="520" w:lineRule="exact"/>
        <w:ind w:firstLine="640" w:firstLineChars="200"/>
        <w:rPr>
          <w:rFonts w:ascii="黑体" w:hAnsi="宋体" w:eastAsia="黑体" w:cs="黑体"/>
          <w:sz w:val="32"/>
          <w:szCs w:val="32"/>
        </w:rPr>
      </w:pPr>
      <w:r>
        <w:rPr>
          <w:rFonts w:hint="eastAsia" w:ascii="黑体" w:hAnsi="宋体" w:eastAsia="黑体" w:cs="黑体"/>
          <w:sz w:val="32"/>
          <w:szCs w:val="32"/>
        </w:rPr>
        <w:t>二、收入支出预算执行情况分析</w:t>
      </w:r>
    </w:p>
    <w:p>
      <w:pPr>
        <w:snapToGrid w:val="0"/>
        <w:spacing w:line="520" w:lineRule="exact"/>
        <w:ind w:firstLine="643" w:firstLineChars="200"/>
        <w:rPr>
          <w:rFonts w:ascii="楷体" w:hAnsi="楷体" w:eastAsia="楷体" w:cs="楷体_GB2312"/>
          <w:b/>
          <w:sz w:val="32"/>
          <w:szCs w:val="32"/>
        </w:rPr>
      </w:pPr>
      <w:r>
        <w:rPr>
          <w:rFonts w:hint="eastAsia" w:ascii="楷体" w:hAnsi="楷体" w:eastAsia="楷体" w:cs="楷体_GB2312"/>
          <w:b/>
          <w:sz w:val="32"/>
          <w:szCs w:val="32"/>
        </w:rPr>
        <w:t>（一）收入支出预算安排情况。</w:t>
      </w:r>
    </w:p>
    <w:p>
      <w:pPr>
        <w:ind w:firstLine="570"/>
        <w:rPr>
          <w:rFonts w:ascii="仿宋" w:hAnsi="仿宋" w:eastAsia="仿宋" w:cs="仿宋"/>
          <w:sz w:val="32"/>
          <w:szCs w:val="32"/>
        </w:rPr>
      </w:pPr>
      <w:r>
        <w:rPr>
          <w:rFonts w:hint="eastAsia" w:ascii="仿宋" w:hAnsi="仿宋" w:eastAsia="仿宋" w:cs="仿宋"/>
          <w:sz w:val="32"/>
          <w:szCs w:val="32"/>
        </w:rPr>
        <w:t>（1）总收支。2021年度年初结转和结余749.95万元，本年预算安排收入1993.21万元，本年预算安排支出</w:t>
      </w:r>
      <w:r>
        <w:rPr>
          <w:rFonts w:hint="eastAsia" w:ascii="仿宋" w:hAnsi="仿宋" w:eastAsia="仿宋" w:cs="仿宋"/>
          <w:sz w:val="32"/>
          <w:szCs w:val="32"/>
          <w:lang w:val="en-US" w:eastAsia="zh-CN"/>
        </w:rPr>
        <w:t>2441.10</w:t>
      </w:r>
      <w:r>
        <w:rPr>
          <w:rFonts w:hint="eastAsia" w:ascii="仿宋" w:hAnsi="仿宋" w:eastAsia="仿宋" w:cs="仿宋"/>
          <w:sz w:val="32"/>
          <w:szCs w:val="32"/>
        </w:rPr>
        <w:t>万元。</w:t>
      </w:r>
    </w:p>
    <w:p>
      <w:pPr>
        <w:ind w:firstLine="570"/>
        <w:rPr>
          <w:rFonts w:ascii="仿宋" w:hAnsi="仿宋" w:eastAsia="仿宋" w:cs="仿宋"/>
          <w:sz w:val="32"/>
          <w:szCs w:val="32"/>
        </w:rPr>
      </w:pPr>
      <w:r>
        <w:rPr>
          <w:rFonts w:hint="eastAsia" w:ascii="仿宋" w:hAnsi="仿宋" w:eastAsia="仿宋" w:cs="仿宋"/>
          <w:sz w:val="32"/>
          <w:szCs w:val="32"/>
        </w:rPr>
        <w:t>（2）一般公共预算财政拨款收支。2021年度一般公共预算财政拨款年初结转和结余749.95万元，本年预算安排一般公共预算财政拨款收入1993.21万元，本年预算安排支出</w:t>
      </w:r>
      <w:r>
        <w:rPr>
          <w:rFonts w:hint="eastAsia" w:ascii="仿宋" w:hAnsi="仿宋" w:eastAsia="仿宋" w:cs="仿宋"/>
          <w:sz w:val="32"/>
          <w:szCs w:val="32"/>
          <w:lang w:val="en-US" w:eastAsia="zh-CN"/>
        </w:rPr>
        <w:t>2441.10</w:t>
      </w:r>
      <w:r>
        <w:rPr>
          <w:rFonts w:hint="eastAsia" w:ascii="仿宋" w:hAnsi="仿宋" w:eastAsia="仿宋" w:cs="仿宋"/>
          <w:sz w:val="32"/>
          <w:szCs w:val="32"/>
        </w:rPr>
        <w:t>万元。</w:t>
      </w:r>
    </w:p>
    <w:p>
      <w:pPr>
        <w:ind w:firstLine="570"/>
        <w:rPr>
          <w:rFonts w:ascii="仿宋" w:hAnsi="仿宋" w:eastAsia="仿宋" w:cs="仿宋"/>
          <w:sz w:val="32"/>
          <w:szCs w:val="32"/>
        </w:rPr>
      </w:pPr>
      <w:r>
        <w:rPr>
          <w:rFonts w:hint="eastAsia" w:ascii="仿宋" w:hAnsi="仿宋" w:eastAsia="仿宋" w:cs="仿宋"/>
          <w:sz w:val="32"/>
          <w:szCs w:val="32"/>
        </w:rPr>
        <w:t>（3）政府性基金预算财政拨款收支。2021年度政府性基金预算财政拨款年初结转和结余0万元，本年收入0万元，本年支出0万元，年末结转和结余0万元。</w:t>
      </w:r>
    </w:p>
    <w:p>
      <w:pPr>
        <w:rPr>
          <w:rFonts w:ascii="仿宋_GB2312" w:hAnsi="仿宋_GB2312" w:eastAsia="仿宋_GB2312"/>
          <w:sz w:val="32"/>
        </w:rPr>
      </w:pPr>
      <w:r>
        <w:rPr>
          <w:rFonts w:hint="eastAsia" w:ascii="仿宋_GB2312" w:hAnsi="仿宋_GB2312" w:eastAsia="仿宋_GB2312"/>
          <w:sz w:val="32"/>
        </w:rPr>
        <w:drawing>
          <wp:anchor distT="0" distB="0" distL="114300" distR="114300" simplePos="0" relativeHeight="251658240" behindDoc="0" locked="0" layoutInCell="1" allowOverlap="1">
            <wp:simplePos x="0" y="0"/>
            <wp:positionH relativeFrom="column">
              <wp:posOffset>-76200</wp:posOffset>
            </wp:positionH>
            <wp:positionV relativeFrom="paragraph">
              <wp:posOffset>160655</wp:posOffset>
            </wp:positionV>
            <wp:extent cx="5458460" cy="2749550"/>
            <wp:effectExtent l="4445" t="4445" r="23495" b="8255"/>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jc w:val="left"/>
        <w:rPr>
          <w:rFonts w:ascii="仿宋_GB2312" w:hAnsi="仿宋_GB2312" w:eastAsia="仿宋_GB2312"/>
          <w:sz w:val="32"/>
        </w:rPr>
      </w:pPr>
    </w:p>
    <w:p>
      <w:pPr>
        <w:rPr>
          <w:rFonts w:ascii="仿宋_GB2312" w:hAnsi="仿宋_GB2312" w:eastAsia="仿宋_GB2312"/>
          <w:sz w:val="32"/>
        </w:rPr>
      </w:pPr>
    </w:p>
    <w:p>
      <w:pPr>
        <w:rPr>
          <w:rFonts w:ascii="仿宋_GB2312" w:hAnsi="仿宋_GB2312" w:eastAsia="仿宋_GB2312"/>
          <w:sz w:val="32"/>
        </w:rPr>
      </w:pPr>
    </w:p>
    <w:p>
      <w:pPr>
        <w:rPr>
          <w:rFonts w:ascii="仿宋_GB2312" w:hAnsi="仿宋_GB2312" w:eastAsia="仿宋_GB2312"/>
          <w:sz w:val="32"/>
        </w:rPr>
      </w:pPr>
    </w:p>
    <w:p>
      <w:pPr>
        <w:rPr>
          <w:rFonts w:ascii="仿宋_GB2312" w:hAnsi="仿宋_GB2312" w:eastAsia="仿宋_GB2312"/>
          <w:sz w:val="32"/>
        </w:rPr>
      </w:pPr>
    </w:p>
    <w:p>
      <w:pPr>
        <w:rPr>
          <w:rFonts w:ascii="仿宋_GB2312" w:hAnsi="仿宋_GB2312" w:eastAsia="仿宋_GB2312"/>
          <w:sz w:val="32"/>
        </w:rPr>
      </w:pPr>
    </w:p>
    <w:p>
      <w:pPr>
        <w:snapToGrid w:val="0"/>
        <w:spacing w:line="520" w:lineRule="exact"/>
        <w:ind w:firstLine="640" w:firstLineChars="200"/>
        <w:rPr>
          <w:rFonts w:ascii="仿宋_GB2312" w:hAnsi="仿宋_GB2312" w:eastAsia="仿宋_GB2312"/>
          <w:sz w:val="32"/>
        </w:rPr>
      </w:pPr>
    </w:p>
    <w:p>
      <w:pPr>
        <w:snapToGrid w:val="0"/>
        <w:spacing w:line="520" w:lineRule="exact"/>
        <w:rPr>
          <w:rFonts w:ascii="仿宋_GB2312" w:hAnsi="仿宋_GB2312" w:eastAsia="仿宋_GB2312"/>
          <w:sz w:val="32"/>
        </w:rPr>
      </w:pPr>
    </w:p>
    <w:p>
      <w:pPr>
        <w:snapToGrid w:val="0"/>
        <w:spacing w:line="520" w:lineRule="exact"/>
        <w:ind w:firstLine="643" w:firstLineChars="200"/>
        <w:rPr>
          <w:rFonts w:ascii="楷体" w:hAnsi="楷体" w:eastAsia="楷体" w:cs="楷体_GB2312"/>
          <w:b/>
          <w:sz w:val="32"/>
          <w:szCs w:val="32"/>
        </w:rPr>
      </w:pPr>
      <w:r>
        <w:rPr>
          <w:rFonts w:hint="eastAsia" w:ascii="楷体" w:hAnsi="楷体" w:eastAsia="楷体" w:cs="楷体_GB2312"/>
          <w:b/>
          <w:sz w:val="32"/>
          <w:szCs w:val="32"/>
        </w:rPr>
        <w:t>（二）收入支出预算执行情况。</w:t>
      </w:r>
    </w:p>
    <w:p>
      <w:pPr>
        <w:ind w:firstLine="627" w:firstLineChars="196"/>
        <w:rPr>
          <w:rFonts w:ascii="仿宋" w:hAnsi="仿宋" w:eastAsia="仿宋" w:cs="仿宋"/>
          <w:sz w:val="32"/>
          <w:szCs w:val="32"/>
        </w:rPr>
      </w:pPr>
      <w:r>
        <w:rPr>
          <w:rFonts w:hint="eastAsia" w:ascii="仿宋" w:hAnsi="仿宋" w:eastAsia="仿宋" w:cs="仿宋"/>
          <w:sz w:val="32"/>
          <w:szCs w:val="32"/>
        </w:rPr>
        <w:t>2021年度总收入2743.15万元，其中：当年财政拨款收入1993.21万元。2020年度财政拨款收入3054.80万元，2021年较上年减少1061.59万元，减少34.75%。</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2021年度总支出2441.</w:t>
      </w:r>
      <w:r>
        <w:rPr>
          <w:rFonts w:hint="eastAsia" w:ascii="仿宋" w:hAnsi="仿宋" w:eastAsia="仿宋" w:cs="仿宋"/>
          <w:sz w:val="32"/>
          <w:szCs w:val="32"/>
          <w:lang w:val="en-US" w:eastAsia="zh-CN"/>
        </w:rPr>
        <w:t>10</w:t>
      </w:r>
      <w:r>
        <w:rPr>
          <w:rFonts w:hint="eastAsia" w:ascii="仿宋" w:hAnsi="仿宋" w:eastAsia="仿宋" w:cs="仿宋"/>
          <w:sz w:val="32"/>
          <w:szCs w:val="32"/>
        </w:rPr>
        <w:t>万元，2020年度财政拨款支出2657.76万元，较上年减少216.6</w:t>
      </w:r>
      <w:r>
        <w:rPr>
          <w:rFonts w:hint="eastAsia" w:ascii="仿宋" w:hAnsi="仿宋" w:eastAsia="仿宋" w:cs="仿宋"/>
          <w:sz w:val="32"/>
          <w:szCs w:val="32"/>
          <w:lang w:val="en-US" w:eastAsia="zh-CN"/>
        </w:rPr>
        <w:t>6</w:t>
      </w:r>
      <w:r>
        <w:rPr>
          <w:rFonts w:hint="eastAsia" w:ascii="仿宋" w:hAnsi="仿宋" w:eastAsia="仿宋" w:cs="仿宋"/>
          <w:sz w:val="32"/>
          <w:szCs w:val="32"/>
        </w:rPr>
        <w:t>万元，减少8.15%。</w:t>
      </w:r>
    </w:p>
    <w:p>
      <w:pPr>
        <w:snapToGrid w:val="0"/>
        <w:spacing w:line="520" w:lineRule="exact"/>
        <w:ind w:firstLine="640" w:firstLineChars="200"/>
        <w:rPr>
          <w:rFonts w:ascii="仿宋" w:hAnsi="仿宋" w:eastAsia="仿宋" w:cs="仿宋"/>
          <w:sz w:val="32"/>
          <w:szCs w:val="32"/>
        </w:rPr>
      </w:pPr>
      <w:r>
        <w:rPr>
          <w:rFonts w:hint="eastAsia" w:ascii="黑体" w:hAnsi="宋体" w:eastAsia="黑体"/>
          <w:sz w:val="32"/>
          <w:szCs w:val="32"/>
        </w:rPr>
        <w:drawing>
          <wp:anchor distT="0" distB="0" distL="114300" distR="114300" simplePos="0" relativeHeight="251659264" behindDoc="0" locked="0" layoutInCell="1" allowOverlap="1">
            <wp:simplePos x="0" y="0"/>
            <wp:positionH relativeFrom="column">
              <wp:posOffset>97790</wp:posOffset>
            </wp:positionH>
            <wp:positionV relativeFrom="paragraph">
              <wp:posOffset>86360</wp:posOffset>
            </wp:positionV>
            <wp:extent cx="5189220" cy="2327275"/>
            <wp:effectExtent l="4445" t="4445" r="6985" b="11430"/>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napToGrid w:val="0"/>
        <w:spacing w:line="520" w:lineRule="exact"/>
        <w:ind w:firstLine="640" w:firstLineChars="200"/>
        <w:rPr>
          <w:rFonts w:ascii="仿宋" w:hAnsi="仿宋" w:eastAsia="仿宋" w:cs="仿宋"/>
          <w:sz w:val="32"/>
          <w:szCs w:val="32"/>
        </w:rPr>
      </w:pPr>
    </w:p>
    <w:p>
      <w:pPr>
        <w:snapToGrid w:val="0"/>
        <w:spacing w:line="520" w:lineRule="exact"/>
        <w:ind w:firstLine="640" w:firstLineChars="200"/>
        <w:rPr>
          <w:rFonts w:ascii="仿宋" w:hAnsi="仿宋" w:eastAsia="仿宋" w:cs="仿宋"/>
          <w:sz w:val="32"/>
          <w:szCs w:val="32"/>
        </w:rPr>
      </w:pPr>
    </w:p>
    <w:p>
      <w:pPr>
        <w:snapToGrid w:val="0"/>
        <w:spacing w:line="520" w:lineRule="exact"/>
        <w:ind w:firstLine="640" w:firstLineChars="200"/>
        <w:rPr>
          <w:rFonts w:ascii="仿宋" w:hAnsi="仿宋" w:eastAsia="仿宋" w:cs="仿宋"/>
          <w:sz w:val="32"/>
          <w:szCs w:val="32"/>
        </w:rPr>
      </w:pPr>
    </w:p>
    <w:p>
      <w:pPr>
        <w:snapToGrid w:val="0"/>
        <w:spacing w:line="520" w:lineRule="exact"/>
        <w:ind w:firstLine="640" w:firstLineChars="200"/>
        <w:rPr>
          <w:rFonts w:ascii="仿宋" w:hAnsi="仿宋" w:eastAsia="仿宋" w:cs="仿宋"/>
          <w:sz w:val="32"/>
          <w:szCs w:val="32"/>
        </w:rPr>
      </w:pPr>
    </w:p>
    <w:p>
      <w:pPr>
        <w:snapToGrid w:val="0"/>
        <w:spacing w:line="520" w:lineRule="exact"/>
        <w:ind w:firstLine="640" w:firstLineChars="200"/>
        <w:rPr>
          <w:rFonts w:ascii="仿宋" w:hAnsi="仿宋" w:eastAsia="仿宋" w:cs="仿宋"/>
          <w:sz w:val="32"/>
          <w:szCs w:val="32"/>
        </w:rPr>
      </w:pPr>
    </w:p>
    <w:p>
      <w:pPr>
        <w:snapToGrid w:val="0"/>
        <w:spacing w:line="520" w:lineRule="exact"/>
        <w:ind w:firstLine="643" w:firstLineChars="200"/>
        <w:rPr>
          <w:rFonts w:ascii="仿宋_GB2312" w:hAnsi="仿宋" w:eastAsia="仿宋_GB2312" w:cs="仿宋_GB2312"/>
          <w:b/>
          <w:sz w:val="32"/>
          <w:szCs w:val="32"/>
        </w:rPr>
      </w:pPr>
    </w:p>
    <w:p>
      <w:pPr>
        <w:snapToGrid w:val="0"/>
        <w:spacing w:line="520" w:lineRule="exact"/>
        <w:ind w:firstLine="643" w:firstLineChars="200"/>
        <w:rPr>
          <w:rFonts w:ascii="仿宋_GB2312" w:hAnsi="仿宋" w:eastAsia="仿宋_GB2312" w:cs="仿宋_GB2312"/>
          <w:b/>
          <w:sz w:val="32"/>
          <w:szCs w:val="32"/>
        </w:rPr>
      </w:pPr>
    </w:p>
    <w:p>
      <w:pPr>
        <w:snapToGrid w:val="0"/>
        <w:spacing w:line="520" w:lineRule="exact"/>
        <w:ind w:firstLine="643" w:firstLineChars="200"/>
        <w:rPr>
          <w:rFonts w:ascii="楷体" w:hAnsi="楷体" w:eastAsia="楷体" w:cs="楷体_GB2312"/>
          <w:b/>
          <w:sz w:val="32"/>
          <w:szCs w:val="32"/>
        </w:rPr>
      </w:pPr>
      <w:r>
        <w:rPr>
          <w:rFonts w:hint="eastAsia" w:ascii="楷体" w:hAnsi="楷体" w:eastAsia="楷体" w:cs="楷体_GB2312"/>
          <w:b/>
          <w:sz w:val="32"/>
          <w:szCs w:val="32"/>
        </w:rPr>
        <w:t>1．收入支出与预算对比分析。</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70528" behindDoc="1" locked="0" layoutInCell="1" allowOverlap="1">
            <wp:simplePos x="0" y="0"/>
            <wp:positionH relativeFrom="column">
              <wp:posOffset>13335</wp:posOffset>
            </wp:positionH>
            <wp:positionV relativeFrom="paragraph">
              <wp:posOffset>711835</wp:posOffset>
            </wp:positionV>
            <wp:extent cx="5101590" cy="2533015"/>
            <wp:effectExtent l="4445" t="4445" r="18415" b="15240"/>
            <wp:wrapThrough wrapText="bothSides">
              <wp:wrapPolygon>
                <wp:start x="-19" y="-38"/>
                <wp:lineTo x="-19" y="21405"/>
                <wp:lineTo x="21517" y="21405"/>
                <wp:lineTo x="21517" y="-38"/>
                <wp:lineTo x="-19" y="-38"/>
              </wp:wrapPolygon>
            </wp:wrapThrough>
            <wp:docPr id="13"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Pr>
          <w:rFonts w:hint="eastAsia" w:ascii="仿宋" w:hAnsi="仿宋" w:eastAsia="仿宋" w:cs="仿宋"/>
          <w:sz w:val="32"/>
          <w:szCs w:val="32"/>
        </w:rPr>
        <w:t>（1）2021年度年初结转和结余749.95万元，本年财政拨款预算收入1993.21万元，总支出2441.</w:t>
      </w:r>
      <w:r>
        <w:rPr>
          <w:rFonts w:hint="eastAsia" w:ascii="仿宋" w:hAnsi="仿宋" w:eastAsia="仿宋" w:cs="仿宋"/>
          <w:sz w:val="32"/>
          <w:szCs w:val="32"/>
          <w:lang w:val="en-US" w:eastAsia="zh-CN"/>
        </w:rPr>
        <w:t>10</w:t>
      </w:r>
      <w:r>
        <w:rPr>
          <w:rFonts w:hint="eastAsia" w:ascii="仿宋" w:hAnsi="仿宋" w:eastAsia="仿宋" w:cs="仿宋"/>
          <w:sz w:val="32"/>
          <w:szCs w:val="32"/>
        </w:rPr>
        <w:t>万元。</w:t>
      </w:r>
    </w:p>
    <w:p>
      <w:pPr>
        <w:snapToGrid w:val="0"/>
        <w:spacing w:line="520" w:lineRule="exact"/>
        <w:ind w:firstLine="640" w:firstLineChars="200"/>
        <w:rPr>
          <w:rFonts w:ascii="仿宋_GB2312" w:hAnsi="仿宋" w:eastAsia="仿宋_GB2312" w:cs="仿宋_GB2312"/>
          <w:sz w:val="32"/>
          <w:szCs w:val="32"/>
        </w:rPr>
      </w:pPr>
    </w:p>
    <w:p>
      <w:pPr>
        <w:snapToGrid w:val="0"/>
        <w:spacing w:line="520" w:lineRule="exact"/>
        <w:ind w:firstLine="640" w:firstLineChars="200"/>
        <w:rPr>
          <w:rFonts w:ascii="仿宋_GB2312" w:hAnsi="仿宋" w:eastAsia="仿宋_GB2312" w:cs="仿宋_GB2312"/>
          <w:b/>
          <w:sz w:val="32"/>
          <w:szCs w:val="32"/>
        </w:rPr>
      </w:pPr>
      <w:r>
        <w:rPr>
          <w:rFonts w:hint="eastAsia" w:ascii="仿宋_GB2312" w:hAnsi="仿宋" w:eastAsia="仿宋_GB2312"/>
          <w:sz w:val="32"/>
          <w:szCs w:val="32"/>
        </w:rPr>
        <w:drawing>
          <wp:anchor distT="0" distB="0" distL="114300" distR="114300" simplePos="0" relativeHeight="251671552" behindDoc="1" locked="0" layoutInCell="1" allowOverlap="1">
            <wp:simplePos x="0" y="0"/>
            <wp:positionH relativeFrom="column">
              <wp:posOffset>129540</wp:posOffset>
            </wp:positionH>
            <wp:positionV relativeFrom="paragraph">
              <wp:posOffset>50165</wp:posOffset>
            </wp:positionV>
            <wp:extent cx="5080000" cy="2230755"/>
            <wp:effectExtent l="4445" t="4445" r="20955" b="12700"/>
            <wp:wrapThrough wrapText="bothSides">
              <wp:wrapPolygon>
                <wp:start x="-19" y="-43"/>
                <wp:lineTo x="-19" y="21539"/>
                <wp:lineTo x="21527" y="21539"/>
                <wp:lineTo x="21527" y="-43"/>
                <wp:lineTo x="-19" y="-43"/>
              </wp:wrapPolygon>
            </wp:wrapThrough>
            <wp:docPr id="14" name="图表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napToGrid w:val="0"/>
        <w:spacing w:line="520" w:lineRule="exact"/>
        <w:ind w:firstLine="643" w:firstLineChars="200"/>
        <w:rPr>
          <w:rFonts w:ascii="楷体" w:hAnsi="楷体" w:eastAsia="楷体" w:cs="楷体_GB2312"/>
          <w:b/>
          <w:sz w:val="32"/>
          <w:szCs w:val="32"/>
        </w:rPr>
      </w:pPr>
      <w:r>
        <w:rPr>
          <w:rFonts w:hint="eastAsia" w:ascii="楷体" w:hAnsi="楷体" w:eastAsia="楷体" w:cs="楷体_GB2312"/>
          <w:b/>
          <w:sz w:val="32"/>
          <w:szCs w:val="32"/>
        </w:rPr>
        <w:t>2．收入支出结构分析。</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（1）各项收入占总收入的比重，各项支出占总支出的比重。</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2021年，本年总收入2743.15万元。其中：2020年结转结余资金749.95万元（其中：一般公共服务支出747.95万元，交通运输支出2万元），一般公共服务支出1648.24万元；社会保障和就业支出151.22万元；卫生健康支出84.84万元，住房保障支出108.91万元。</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2021年，本年总支出2441.</w:t>
      </w:r>
      <w:r>
        <w:rPr>
          <w:rFonts w:hint="eastAsia" w:ascii="仿宋" w:hAnsi="仿宋" w:eastAsia="仿宋" w:cs="仿宋"/>
          <w:sz w:val="32"/>
          <w:szCs w:val="32"/>
          <w:lang w:val="en-US" w:eastAsia="zh-CN"/>
        </w:rPr>
        <w:t>10</w:t>
      </w:r>
      <w:r>
        <w:rPr>
          <w:rFonts w:hint="eastAsia" w:ascii="仿宋" w:hAnsi="仿宋" w:eastAsia="仿宋" w:cs="仿宋"/>
          <w:sz w:val="32"/>
          <w:szCs w:val="32"/>
        </w:rPr>
        <w:t>万元。其中：一般公共服务支出2096.1</w:t>
      </w:r>
      <w:r>
        <w:rPr>
          <w:rFonts w:hint="eastAsia" w:ascii="仿宋" w:hAnsi="仿宋" w:eastAsia="仿宋" w:cs="仿宋"/>
          <w:sz w:val="32"/>
          <w:szCs w:val="32"/>
          <w:lang w:val="en-US" w:eastAsia="zh-CN"/>
        </w:rPr>
        <w:t>3</w:t>
      </w:r>
      <w:r>
        <w:rPr>
          <w:rFonts w:hint="eastAsia" w:ascii="仿宋" w:hAnsi="仿宋" w:eastAsia="仿宋" w:cs="仿宋"/>
          <w:sz w:val="32"/>
          <w:szCs w:val="32"/>
        </w:rPr>
        <w:t>万元；社会保障和就业支出151.22万元；卫生健康支出84.84万元，住房保障支出108.91万元。</w:t>
      </w:r>
    </w:p>
    <w:p>
      <w:pPr>
        <w:snapToGrid w:val="0"/>
        <w:spacing w:line="520" w:lineRule="exact"/>
        <w:ind w:firstLine="640" w:firstLineChars="200"/>
        <w:rPr>
          <w:rFonts w:ascii="仿宋_GB2312" w:hAnsi="仿宋_GB2312" w:eastAsia="仿宋_GB2312"/>
          <w:sz w:val="32"/>
        </w:rPr>
      </w:pPr>
      <w:r>
        <w:rPr>
          <w:rFonts w:hint="eastAsia" w:ascii="仿宋_GB2312" w:hAnsi="仿宋_GB2312" w:eastAsia="仿宋_GB2312"/>
          <w:sz w:val="32"/>
        </w:rPr>
        <w:drawing>
          <wp:anchor distT="0" distB="0" distL="114300" distR="114300" simplePos="0" relativeHeight="251672576" behindDoc="0" locked="0" layoutInCell="1" allowOverlap="1">
            <wp:simplePos x="0" y="0"/>
            <wp:positionH relativeFrom="column">
              <wp:posOffset>-509270</wp:posOffset>
            </wp:positionH>
            <wp:positionV relativeFrom="paragraph">
              <wp:posOffset>118110</wp:posOffset>
            </wp:positionV>
            <wp:extent cx="3066415" cy="2275840"/>
            <wp:effectExtent l="4445" t="4445" r="15240" b="5715"/>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_GB2312" w:hAnsi="仿宋_GB2312" w:eastAsia="仿宋_GB2312"/>
          <w:sz w:val="32"/>
        </w:rPr>
        <w:drawing>
          <wp:anchor distT="0" distB="0" distL="114300" distR="114300" simplePos="0" relativeHeight="251673600" behindDoc="0" locked="0" layoutInCell="1" allowOverlap="1">
            <wp:simplePos x="0" y="0"/>
            <wp:positionH relativeFrom="column">
              <wp:posOffset>2688590</wp:posOffset>
            </wp:positionH>
            <wp:positionV relativeFrom="paragraph">
              <wp:posOffset>111125</wp:posOffset>
            </wp:positionV>
            <wp:extent cx="3066415" cy="2253615"/>
            <wp:effectExtent l="5080" t="4445" r="14605" b="8890"/>
            <wp:wrapNone/>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napToGrid w:val="0"/>
        <w:spacing w:line="520" w:lineRule="exact"/>
        <w:ind w:firstLine="640" w:firstLineChars="200"/>
        <w:rPr>
          <w:rFonts w:ascii="仿宋_GB2312" w:hAnsi="仿宋_GB2312" w:eastAsia="仿宋_GB2312"/>
          <w:sz w:val="32"/>
        </w:rPr>
      </w:pPr>
    </w:p>
    <w:p>
      <w:pPr>
        <w:snapToGrid w:val="0"/>
        <w:spacing w:line="520" w:lineRule="exact"/>
        <w:ind w:firstLine="640" w:firstLineChars="200"/>
        <w:rPr>
          <w:rFonts w:ascii="仿宋_GB2312" w:hAnsi="仿宋_GB2312" w:eastAsia="仿宋_GB2312"/>
          <w:sz w:val="32"/>
        </w:rPr>
      </w:pPr>
    </w:p>
    <w:p>
      <w:pPr>
        <w:snapToGrid w:val="0"/>
        <w:spacing w:line="520" w:lineRule="exact"/>
        <w:ind w:firstLine="640" w:firstLineChars="200"/>
        <w:rPr>
          <w:rFonts w:ascii="仿宋_GB2312" w:hAnsi="仿宋_GB2312" w:eastAsia="仿宋_GB2312"/>
          <w:sz w:val="32"/>
        </w:rPr>
      </w:pP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（2）收入支出与上年度对比情况。</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2021年度财政拨款总收入</w:t>
      </w:r>
      <w:r>
        <w:rPr>
          <w:rFonts w:hint="eastAsia" w:ascii="仿宋_GB2312" w:hAnsi="仿宋_GB2312" w:eastAsia="仿宋_GB2312"/>
          <w:sz w:val="32"/>
        </w:rPr>
        <w:t>2952.10</w:t>
      </w:r>
      <w:r>
        <w:rPr>
          <w:rFonts w:hint="eastAsia" w:ascii="仿宋" w:hAnsi="仿宋" w:eastAsia="仿宋" w:cs="仿宋"/>
          <w:sz w:val="32"/>
          <w:szCs w:val="32"/>
        </w:rPr>
        <w:t>万元，较上年减少</w:t>
      </w:r>
      <w:r>
        <w:rPr>
          <w:rFonts w:hint="eastAsia" w:ascii="仿宋_GB2312" w:hAnsi="仿宋_GB2312" w:eastAsia="仿宋_GB2312"/>
          <w:sz w:val="32"/>
        </w:rPr>
        <w:t>455.61</w:t>
      </w:r>
      <w:r>
        <w:rPr>
          <w:rFonts w:hint="eastAsia" w:ascii="仿宋" w:hAnsi="仿宋" w:eastAsia="仿宋" w:cs="仿宋"/>
          <w:sz w:val="32"/>
          <w:szCs w:val="32"/>
        </w:rPr>
        <w:t>万元，减少13.37%。</w:t>
      </w:r>
    </w:p>
    <w:p>
      <w:pPr>
        <w:snapToGrid w:val="0"/>
        <w:spacing w:line="520" w:lineRule="exact"/>
        <w:ind w:firstLine="640" w:firstLineChars="200"/>
        <w:rPr>
          <w:rFonts w:ascii="仿宋" w:hAnsi="仿宋" w:eastAsia="仿宋" w:cs="仿宋"/>
          <w:sz w:val="32"/>
          <w:szCs w:val="32"/>
        </w:rPr>
      </w:pPr>
      <w:r>
        <w:rPr>
          <w:rFonts w:hint="eastAsia" w:ascii="黑体" w:hAnsi="宋体" w:eastAsia="黑体"/>
          <w:sz w:val="32"/>
          <w:szCs w:val="32"/>
        </w:rPr>
        <w:drawing>
          <wp:anchor distT="0" distB="0" distL="114300" distR="114300" simplePos="0" relativeHeight="251674624" behindDoc="1" locked="0" layoutInCell="1" allowOverlap="1">
            <wp:simplePos x="0" y="0"/>
            <wp:positionH relativeFrom="column">
              <wp:posOffset>64135</wp:posOffset>
            </wp:positionH>
            <wp:positionV relativeFrom="paragraph">
              <wp:posOffset>702310</wp:posOffset>
            </wp:positionV>
            <wp:extent cx="5351145" cy="2121535"/>
            <wp:effectExtent l="4445" t="4445" r="16510" b="7620"/>
            <wp:wrapThrough wrapText="bothSides">
              <wp:wrapPolygon>
                <wp:start x="-18" y="-45"/>
                <wp:lineTo x="-18" y="21484"/>
                <wp:lineTo x="21513" y="21484"/>
                <wp:lineTo x="21513" y="-45"/>
                <wp:lineTo x="-18" y="-45"/>
              </wp:wrapPolygon>
            </wp:wrapThrough>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cs="仿宋"/>
          <w:sz w:val="32"/>
          <w:szCs w:val="32"/>
        </w:rPr>
        <w:t>2021年度财政拨款总支出</w:t>
      </w:r>
      <w:r>
        <w:rPr>
          <w:rFonts w:hint="eastAsia" w:ascii="仿宋_GB2312" w:hAnsi="仿宋_GB2312" w:eastAsia="仿宋_GB2312"/>
          <w:sz w:val="32"/>
        </w:rPr>
        <w:t>2441.</w:t>
      </w:r>
      <w:r>
        <w:rPr>
          <w:rFonts w:hint="eastAsia" w:ascii="仿宋_GB2312" w:hAnsi="仿宋_GB2312" w:eastAsia="仿宋_GB2312"/>
          <w:sz w:val="32"/>
          <w:lang w:val="en-US" w:eastAsia="zh-CN"/>
        </w:rPr>
        <w:t>10</w:t>
      </w:r>
      <w:r>
        <w:rPr>
          <w:rFonts w:hint="eastAsia" w:ascii="仿宋" w:hAnsi="仿宋" w:eastAsia="仿宋" w:cs="仿宋"/>
          <w:sz w:val="32"/>
          <w:szCs w:val="32"/>
        </w:rPr>
        <w:t>万元，较上年减少126.67万元，减少4.93%。</w:t>
      </w:r>
    </w:p>
    <w:p>
      <w:pPr>
        <w:snapToGrid w:val="0"/>
        <w:spacing w:line="520" w:lineRule="exact"/>
        <w:ind w:firstLine="643" w:firstLineChars="200"/>
        <w:rPr>
          <w:rFonts w:ascii="楷体" w:hAnsi="楷体" w:eastAsia="楷体" w:cs="楷体_GB2312"/>
          <w:b/>
          <w:sz w:val="32"/>
          <w:szCs w:val="32"/>
        </w:rPr>
      </w:pPr>
      <w:r>
        <w:rPr>
          <w:rFonts w:hint="eastAsia" w:ascii="楷体" w:hAnsi="楷体" w:eastAsia="楷体" w:cs="楷体_GB2312"/>
          <w:b/>
          <w:sz w:val="32"/>
          <w:szCs w:val="32"/>
        </w:rPr>
        <w:t>3．支出按经济分类科目分析。</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（1）“三公”经费支出情况</w:t>
      </w:r>
    </w:p>
    <w:p>
      <w:pPr>
        <w:ind w:right="120"/>
        <w:jc w:val="center"/>
        <w:rPr>
          <w:rFonts w:ascii="方正小标宋简体" w:hAnsi="宋体" w:eastAsia="方正小标宋简体" w:cs="宋体"/>
          <w:bCs/>
          <w:kern w:val="0"/>
          <w:sz w:val="32"/>
          <w:szCs w:val="32"/>
        </w:rPr>
      </w:pPr>
      <w:r>
        <w:rPr>
          <w:rFonts w:hint="eastAsia" w:ascii="方正小标宋简体" w:hAnsi="宋体" w:eastAsia="方正小标宋简体" w:cs="宋体"/>
          <w:bCs/>
          <w:kern w:val="0"/>
          <w:sz w:val="32"/>
          <w:szCs w:val="32"/>
        </w:rPr>
        <w:t>西藏昌都市财政局2021年“三公”经费情况表</w:t>
      </w:r>
    </w:p>
    <w:p>
      <w:pPr>
        <w:ind w:right="120"/>
        <w:jc w:val="right"/>
        <w:rPr>
          <w:rFonts w:ascii="宋体" w:hAnsi="宋体"/>
          <w:sz w:val="28"/>
          <w:szCs w:val="28"/>
        </w:rPr>
      </w:pPr>
      <w:r>
        <w:rPr>
          <w:rFonts w:hint="eastAsia" w:ascii="宋体" w:hAnsi="宋体" w:cs="宋体"/>
          <w:kern w:val="0"/>
          <w:sz w:val="28"/>
          <w:szCs w:val="28"/>
        </w:rPr>
        <w:t>单位：万元</w:t>
      </w:r>
    </w:p>
    <w:tbl>
      <w:tblPr>
        <w:tblStyle w:val="6"/>
        <w:tblpPr w:leftFromText="180" w:rightFromText="180" w:vertAnchor="text" w:horzAnchor="page" w:tblpX="1627" w:tblpY="342"/>
        <w:tblOverlap w:val="never"/>
        <w:tblW w:w="8969" w:type="dxa"/>
        <w:tblInd w:w="0" w:type="dxa"/>
        <w:tblLayout w:type="fixed"/>
        <w:tblCellMar>
          <w:top w:w="0" w:type="dxa"/>
          <w:left w:w="108" w:type="dxa"/>
          <w:bottom w:w="0" w:type="dxa"/>
          <w:right w:w="108" w:type="dxa"/>
        </w:tblCellMar>
      </w:tblPr>
      <w:tblGrid>
        <w:gridCol w:w="4160"/>
        <w:gridCol w:w="1417"/>
        <w:gridCol w:w="1549"/>
        <w:gridCol w:w="1843"/>
      </w:tblGrid>
      <w:tr>
        <w:tblPrEx>
          <w:tblLayout w:type="fixed"/>
          <w:tblCellMar>
            <w:top w:w="0" w:type="dxa"/>
            <w:left w:w="108" w:type="dxa"/>
            <w:bottom w:w="0" w:type="dxa"/>
            <w:right w:w="108" w:type="dxa"/>
          </w:tblCellMar>
        </w:tblPrEx>
        <w:trPr>
          <w:trHeight w:val="567" w:hRule="exact"/>
        </w:trPr>
        <w:tc>
          <w:tcPr>
            <w:tcW w:w="41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项目</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预算数</w:t>
            </w:r>
          </w:p>
        </w:tc>
        <w:tc>
          <w:tcPr>
            <w:tcW w:w="15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决算数</w:t>
            </w:r>
          </w:p>
        </w:tc>
        <w:tc>
          <w:tcPr>
            <w:tcW w:w="184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备注</w:t>
            </w:r>
          </w:p>
        </w:tc>
      </w:tr>
      <w:tr>
        <w:tblPrEx>
          <w:tblLayout w:type="fixed"/>
          <w:tblCellMar>
            <w:top w:w="0" w:type="dxa"/>
            <w:left w:w="108" w:type="dxa"/>
            <w:bottom w:w="0" w:type="dxa"/>
            <w:right w:w="108" w:type="dxa"/>
          </w:tblCellMar>
        </w:tblPrEx>
        <w:trPr>
          <w:trHeight w:val="567" w:hRule="exact"/>
        </w:trPr>
        <w:tc>
          <w:tcPr>
            <w:tcW w:w="416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合计</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8"/>
                <w:szCs w:val="28"/>
              </w:rPr>
            </w:pPr>
            <w:r>
              <w:rPr>
                <w:rFonts w:hint="eastAsia" w:ascii="宋体" w:hAnsi="宋体" w:cs="宋体"/>
                <w:kern w:val="0"/>
                <w:sz w:val="28"/>
                <w:szCs w:val="28"/>
              </w:rPr>
              <w:t>59.41</w:t>
            </w:r>
          </w:p>
        </w:tc>
        <w:tc>
          <w:tcPr>
            <w:tcW w:w="15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8"/>
                <w:szCs w:val="28"/>
              </w:rPr>
            </w:pPr>
            <w:r>
              <w:rPr>
                <w:rFonts w:hint="eastAsia" w:ascii="宋体" w:hAnsi="宋体" w:cs="宋体"/>
                <w:kern w:val="0"/>
                <w:sz w:val="28"/>
                <w:szCs w:val="28"/>
              </w:rPr>
              <w:t>36.59</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r>
        <w:tblPrEx>
          <w:tblLayout w:type="fixed"/>
          <w:tblCellMar>
            <w:top w:w="0" w:type="dxa"/>
            <w:left w:w="108" w:type="dxa"/>
            <w:bottom w:w="0" w:type="dxa"/>
            <w:right w:w="108" w:type="dxa"/>
          </w:tblCellMar>
        </w:tblPrEx>
        <w:trPr>
          <w:trHeight w:val="567" w:hRule="exact"/>
        </w:trPr>
        <w:tc>
          <w:tcPr>
            <w:tcW w:w="41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1.因公出国（境）费</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0</w:t>
            </w:r>
          </w:p>
        </w:tc>
        <w:tc>
          <w:tcPr>
            <w:tcW w:w="15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r>
              <w:rPr>
                <w:rFonts w:hint="eastAsia" w:ascii="宋体" w:hAnsi="宋体" w:cs="宋体"/>
                <w:kern w:val="0"/>
                <w:sz w:val="28"/>
                <w:szCs w:val="28"/>
              </w:rPr>
              <w:t>0</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r>
        <w:tblPrEx>
          <w:tblLayout w:type="fixed"/>
          <w:tblCellMar>
            <w:top w:w="0" w:type="dxa"/>
            <w:left w:w="108" w:type="dxa"/>
            <w:bottom w:w="0" w:type="dxa"/>
            <w:right w:w="108" w:type="dxa"/>
          </w:tblCellMar>
        </w:tblPrEx>
        <w:trPr>
          <w:trHeight w:val="567" w:hRule="exact"/>
        </w:trPr>
        <w:tc>
          <w:tcPr>
            <w:tcW w:w="41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2.公务接待费</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8"/>
                <w:szCs w:val="28"/>
              </w:rPr>
            </w:pPr>
            <w:r>
              <w:rPr>
                <w:rFonts w:hint="eastAsia" w:ascii="宋体" w:hAnsi="宋体" w:cs="宋体"/>
                <w:kern w:val="0"/>
                <w:sz w:val="28"/>
                <w:szCs w:val="28"/>
              </w:rPr>
              <w:t>8.37</w:t>
            </w:r>
          </w:p>
        </w:tc>
        <w:tc>
          <w:tcPr>
            <w:tcW w:w="15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8"/>
                <w:szCs w:val="28"/>
              </w:rPr>
            </w:pPr>
            <w:r>
              <w:rPr>
                <w:rFonts w:hint="eastAsia" w:ascii="宋体" w:hAnsi="宋体" w:cs="宋体"/>
                <w:kern w:val="0"/>
                <w:sz w:val="28"/>
                <w:szCs w:val="28"/>
              </w:rPr>
              <w:t>0.89</w:t>
            </w:r>
          </w:p>
        </w:tc>
        <w:tc>
          <w:tcPr>
            <w:tcW w:w="1843" w:type="dxa"/>
            <w:tcBorders>
              <w:top w:val="nil"/>
              <w:left w:val="nil"/>
              <w:bottom w:val="single" w:color="auto" w:sz="4"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r>
        <w:tblPrEx>
          <w:tblLayout w:type="fixed"/>
          <w:tblCellMar>
            <w:top w:w="0" w:type="dxa"/>
            <w:left w:w="108" w:type="dxa"/>
            <w:bottom w:w="0" w:type="dxa"/>
            <w:right w:w="108" w:type="dxa"/>
          </w:tblCellMar>
        </w:tblPrEx>
        <w:trPr>
          <w:trHeight w:val="567" w:hRule="exact"/>
        </w:trPr>
        <w:tc>
          <w:tcPr>
            <w:tcW w:w="41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3.公务用车经费</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宋体"/>
                <w:kern w:val="0"/>
                <w:sz w:val="28"/>
                <w:szCs w:val="28"/>
              </w:rPr>
            </w:pPr>
            <w:r>
              <w:rPr>
                <w:rFonts w:hint="eastAsia" w:ascii="宋体" w:hAnsi="宋体" w:cs="宋体"/>
                <w:kern w:val="0"/>
                <w:sz w:val="28"/>
                <w:szCs w:val="28"/>
              </w:rPr>
              <w:t>51.04</w:t>
            </w:r>
          </w:p>
        </w:tc>
        <w:tc>
          <w:tcPr>
            <w:tcW w:w="15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8"/>
                <w:szCs w:val="28"/>
              </w:rPr>
            </w:pPr>
            <w:r>
              <w:rPr>
                <w:rFonts w:hint="eastAsia" w:ascii="宋体" w:hAnsi="宋体" w:cs="宋体"/>
                <w:kern w:val="0"/>
                <w:sz w:val="28"/>
                <w:szCs w:val="28"/>
              </w:rPr>
              <w:t>35.70</w:t>
            </w:r>
          </w:p>
        </w:tc>
        <w:tc>
          <w:tcPr>
            <w:tcW w:w="1843"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r>
        <w:tblPrEx>
          <w:tblLayout w:type="fixed"/>
          <w:tblCellMar>
            <w:top w:w="0" w:type="dxa"/>
            <w:left w:w="108" w:type="dxa"/>
            <w:bottom w:w="0" w:type="dxa"/>
            <w:right w:w="108" w:type="dxa"/>
          </w:tblCellMar>
        </w:tblPrEx>
        <w:trPr>
          <w:trHeight w:val="567" w:hRule="exact"/>
        </w:trPr>
        <w:tc>
          <w:tcPr>
            <w:tcW w:w="41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其中：（1）公务用车运行维护费</w:t>
            </w:r>
          </w:p>
        </w:tc>
        <w:tc>
          <w:tcPr>
            <w:tcW w:w="1417" w:type="dxa"/>
            <w:tcBorders>
              <w:top w:val="single" w:color="auto" w:sz="4" w:space="0"/>
              <w:left w:val="nil"/>
              <w:bottom w:val="single" w:color="auto" w:sz="4" w:space="0"/>
              <w:right w:val="single" w:color="auto" w:sz="4" w:space="0"/>
            </w:tcBorders>
          </w:tcPr>
          <w:p>
            <w:pPr>
              <w:widowControl/>
              <w:jc w:val="center"/>
              <w:rPr>
                <w:rFonts w:ascii="宋体" w:hAnsi="宋体" w:eastAsia="宋体" w:cs="宋体"/>
                <w:kern w:val="0"/>
                <w:sz w:val="28"/>
                <w:szCs w:val="28"/>
              </w:rPr>
            </w:pPr>
            <w:r>
              <w:rPr>
                <w:rFonts w:hint="eastAsia" w:ascii="宋体" w:hAnsi="宋体" w:cs="宋体"/>
                <w:kern w:val="0"/>
                <w:sz w:val="28"/>
                <w:szCs w:val="28"/>
              </w:rPr>
              <w:t>51.04</w:t>
            </w:r>
          </w:p>
        </w:tc>
        <w:tc>
          <w:tcPr>
            <w:tcW w:w="15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宋体"/>
                <w:kern w:val="0"/>
                <w:sz w:val="28"/>
                <w:szCs w:val="28"/>
              </w:rPr>
            </w:pPr>
            <w:r>
              <w:rPr>
                <w:rFonts w:hint="eastAsia" w:ascii="宋体" w:hAnsi="宋体" w:cs="宋体"/>
                <w:kern w:val="0"/>
                <w:sz w:val="28"/>
                <w:szCs w:val="28"/>
              </w:rPr>
              <w:t>35.70</w:t>
            </w: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r>
        <w:tblPrEx>
          <w:tblLayout w:type="fixed"/>
          <w:tblCellMar>
            <w:top w:w="0" w:type="dxa"/>
            <w:left w:w="108" w:type="dxa"/>
            <w:bottom w:w="0" w:type="dxa"/>
            <w:right w:w="108" w:type="dxa"/>
          </w:tblCellMar>
        </w:tblPrEx>
        <w:trPr>
          <w:trHeight w:val="567" w:hRule="exact"/>
        </w:trPr>
        <w:tc>
          <w:tcPr>
            <w:tcW w:w="416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 xml:space="preserve">      （2）公务用车购置</w:t>
            </w:r>
          </w:p>
        </w:tc>
        <w:tc>
          <w:tcPr>
            <w:tcW w:w="1417" w:type="dxa"/>
            <w:tcBorders>
              <w:top w:val="single" w:color="auto" w:sz="4" w:space="0"/>
              <w:left w:val="nil"/>
              <w:bottom w:val="single" w:color="auto" w:sz="4" w:space="0"/>
              <w:right w:val="single" w:color="auto" w:sz="4" w:space="0"/>
            </w:tcBorders>
          </w:tcPr>
          <w:p>
            <w:pPr>
              <w:widowControl/>
              <w:jc w:val="center"/>
              <w:rPr>
                <w:rFonts w:ascii="宋体" w:hAnsi="宋体" w:cs="宋体"/>
                <w:kern w:val="0"/>
                <w:sz w:val="28"/>
                <w:szCs w:val="28"/>
              </w:rPr>
            </w:pPr>
          </w:p>
        </w:tc>
        <w:tc>
          <w:tcPr>
            <w:tcW w:w="15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8"/>
                <w:szCs w:val="28"/>
              </w:rPr>
            </w:pPr>
            <w:r>
              <w:rPr>
                <w:rFonts w:hint="eastAsia" w:ascii="宋体" w:hAnsi="宋体" w:cs="宋体"/>
                <w:kern w:val="0"/>
                <w:sz w:val="28"/>
                <w:szCs w:val="28"/>
              </w:rPr>
              <w:t>　</w:t>
            </w:r>
          </w:p>
        </w:tc>
      </w:tr>
    </w:tbl>
    <w:p>
      <w:pPr>
        <w:ind w:firstLine="627" w:firstLineChars="196"/>
        <w:rPr>
          <w:rFonts w:ascii="仿宋" w:hAnsi="仿宋" w:eastAsia="仿宋" w:cs="仿宋"/>
          <w:sz w:val="32"/>
          <w:szCs w:val="32"/>
        </w:rPr>
      </w:pPr>
      <w:r>
        <w:rPr>
          <w:rFonts w:hint="eastAsia" w:ascii="仿宋" w:hAnsi="仿宋" w:eastAsia="仿宋" w:cs="仿宋"/>
          <w:sz w:val="32"/>
          <w:szCs w:val="32"/>
        </w:rPr>
        <w:t>2021年度“三公”经费支出36.59万元，比上年减少0.16万元，降低0.45%。具体如下：</w:t>
      </w:r>
    </w:p>
    <w:p>
      <w:pPr>
        <w:numPr>
          <w:ilvl w:val="0"/>
          <w:numId w:val="1"/>
        </w:numPr>
        <w:ind w:firstLine="627" w:firstLineChars="196"/>
        <w:rPr>
          <w:rFonts w:ascii="仿宋" w:hAnsi="仿宋" w:eastAsia="仿宋" w:cs="仿宋_GB2312"/>
          <w:sz w:val="32"/>
          <w:szCs w:val="32"/>
        </w:rPr>
      </w:pPr>
      <w:r>
        <w:rPr>
          <w:rFonts w:hint="eastAsia" w:ascii="仿宋" w:hAnsi="仿宋" w:eastAsia="仿宋" w:cs="仿宋"/>
          <w:sz w:val="32"/>
          <w:szCs w:val="32"/>
        </w:rPr>
        <w:t>公务接待费0.89万元。接待10批次、60人次，主要用于</w:t>
      </w:r>
      <w:r>
        <w:rPr>
          <w:rFonts w:hint="eastAsia" w:ascii="仿宋" w:hAnsi="仿宋" w:eastAsia="仿宋" w:cs="仿宋_GB2312"/>
          <w:sz w:val="32"/>
          <w:szCs w:val="32"/>
        </w:rPr>
        <w:t>接待上级、外单位业务指导和工作调研等公务往来支出。同口径较上年减少0万元，下降0%。</w:t>
      </w:r>
    </w:p>
    <w:p>
      <w:pPr>
        <w:rPr>
          <w:rFonts w:ascii="方正仿宋简体" w:hAnsi="宋体" w:eastAsia="方正仿宋简体" w:cs="宋体"/>
          <w:sz w:val="32"/>
          <w:szCs w:val="32"/>
        </w:rPr>
      </w:pPr>
      <w:r>
        <w:rPr>
          <w:rFonts w:hint="eastAsia" w:ascii="仿宋" w:hAnsi="仿宋" w:eastAsia="仿宋" w:cs="仿宋_GB2312"/>
          <w:sz w:val="32"/>
          <w:szCs w:val="32"/>
        </w:rPr>
        <w:t xml:space="preserve">    2.公务用车经费35.70万元，其中：公务用车运行维护费35.70万元，主要用于市内因公出行、财政监督检查、扶贫调研、驻村工作、投资评审等业务所需的车辆燃料费、维修费、保险费等支出，同口径较上年减少0.16万元，下降0.45%；公务用车购置费0万元，购置新车0辆。市财政局现公务用车保有量为5辆。</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（2）会议费支出情况</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2021年度会议费支出0.13万元，主要因疫情缓解，开展相关会议。</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（3）培训费支出情况</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2021年度培训费支出30.29万元，主要因疫情缓解，开展乡镇财务人员培训。</w:t>
      </w:r>
    </w:p>
    <w:p>
      <w:pPr>
        <w:snapToGrid w:val="0"/>
        <w:spacing w:line="520" w:lineRule="exact"/>
        <w:ind w:firstLine="643" w:firstLineChars="200"/>
        <w:rPr>
          <w:rFonts w:ascii="楷体" w:hAnsi="楷体" w:eastAsia="楷体" w:cs="楷体_GB2312"/>
          <w:b/>
          <w:sz w:val="32"/>
          <w:szCs w:val="32"/>
        </w:rPr>
      </w:pPr>
      <w:r>
        <w:rPr>
          <w:rFonts w:hint="eastAsia" w:ascii="楷体" w:hAnsi="楷体" w:eastAsia="楷体" w:cs="楷体_GB2312"/>
          <w:b/>
          <w:sz w:val="32"/>
          <w:szCs w:val="32"/>
        </w:rPr>
        <w:t>4.财政拨款收入、支出分析。</w:t>
      </w:r>
    </w:p>
    <w:p>
      <w:pPr>
        <w:snapToGrid w:val="0"/>
        <w:spacing w:line="520" w:lineRule="exact"/>
        <w:ind w:firstLine="640" w:firstLineChars="200"/>
        <w:rPr>
          <w:rFonts w:ascii="仿宋_GB2312" w:hAnsi="仿宋" w:eastAsia="仿宋_GB2312"/>
          <w:sz w:val="32"/>
          <w:szCs w:val="32"/>
        </w:rPr>
      </w:pPr>
      <w:r>
        <w:rPr>
          <w:rFonts w:hint="eastAsia" w:ascii="仿宋_GB2312" w:hAnsi="仿宋" w:eastAsia="仿宋_GB2312"/>
          <w:sz w:val="32"/>
          <w:szCs w:val="32"/>
        </w:rPr>
        <w:t>（1）财政拨款收入分析。</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2021年，本年财政拨款预算收入1993.21万元。其中：一般公共服务支出1648.24万元；社会保障和就业支出151.22万元；卫生健康支出84.84万元，住房保障支出108.91万元。</w:t>
      </w:r>
    </w:p>
    <w:p>
      <w:pPr>
        <w:pStyle w:val="2"/>
        <w:ind w:firstLine="0" w:firstLineChars="0"/>
        <w:rPr>
          <w:rFonts w:ascii="仿宋_GB2312" w:hAnsi="仿宋_GB2312" w:eastAsia="仿宋_GB2312"/>
          <w:sz w:val="32"/>
        </w:rPr>
      </w:pPr>
      <w:r>
        <w:rPr>
          <w:rFonts w:ascii="仿宋_GB2312" w:hAnsi="仿宋_GB2312" w:eastAsia="仿宋_GB2312"/>
          <w:sz w:val="32"/>
        </w:rPr>
        <w:drawing>
          <wp:anchor distT="0" distB="0" distL="114300" distR="114300" simplePos="0" relativeHeight="251678720" behindDoc="0" locked="0" layoutInCell="1" allowOverlap="1">
            <wp:simplePos x="0" y="0"/>
            <wp:positionH relativeFrom="column">
              <wp:posOffset>247650</wp:posOffset>
            </wp:positionH>
            <wp:positionV relativeFrom="paragraph">
              <wp:posOffset>45720</wp:posOffset>
            </wp:positionV>
            <wp:extent cx="4810125" cy="2851785"/>
            <wp:effectExtent l="19050" t="0" r="9525" b="5715"/>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napToGrid w:val="0"/>
        <w:spacing w:line="520" w:lineRule="exact"/>
        <w:ind w:firstLine="640" w:firstLineChars="200"/>
        <w:rPr>
          <w:rFonts w:ascii="仿宋_GB2312" w:hAnsi="仿宋" w:eastAsia="仿宋_GB2312"/>
          <w:sz w:val="32"/>
          <w:szCs w:val="32"/>
        </w:rPr>
      </w:pPr>
    </w:p>
    <w:p>
      <w:pPr>
        <w:snapToGrid w:val="0"/>
        <w:spacing w:line="520" w:lineRule="exact"/>
        <w:ind w:firstLine="640" w:firstLineChars="200"/>
        <w:rPr>
          <w:rFonts w:ascii="仿宋_GB2312" w:hAnsi="仿宋" w:eastAsia="仿宋_GB2312"/>
          <w:sz w:val="32"/>
          <w:szCs w:val="32"/>
        </w:rPr>
      </w:pPr>
    </w:p>
    <w:p>
      <w:pPr>
        <w:snapToGrid w:val="0"/>
        <w:spacing w:line="520" w:lineRule="exact"/>
        <w:ind w:firstLine="640" w:firstLineChars="200"/>
        <w:rPr>
          <w:rFonts w:ascii="仿宋_GB2312" w:hAnsi="仿宋" w:eastAsia="仿宋_GB2312"/>
          <w:sz w:val="32"/>
          <w:szCs w:val="32"/>
        </w:rPr>
      </w:pPr>
    </w:p>
    <w:p>
      <w:pPr>
        <w:snapToGrid w:val="0"/>
        <w:spacing w:line="520" w:lineRule="exact"/>
        <w:ind w:firstLine="640" w:firstLineChars="200"/>
        <w:rPr>
          <w:rFonts w:ascii="仿宋_GB2312" w:hAnsi="仿宋" w:eastAsia="仿宋_GB2312"/>
          <w:sz w:val="32"/>
          <w:szCs w:val="32"/>
        </w:rPr>
      </w:pPr>
    </w:p>
    <w:p>
      <w:pPr>
        <w:snapToGrid w:val="0"/>
        <w:spacing w:line="520" w:lineRule="exact"/>
        <w:ind w:firstLine="640" w:firstLineChars="200"/>
        <w:rPr>
          <w:rFonts w:ascii="仿宋_GB2312" w:hAnsi="仿宋" w:eastAsia="仿宋_GB2312"/>
          <w:sz w:val="32"/>
          <w:szCs w:val="32"/>
        </w:rPr>
      </w:pPr>
    </w:p>
    <w:p>
      <w:pPr>
        <w:ind w:firstLine="640" w:firstLineChars="200"/>
        <w:rPr>
          <w:rFonts w:ascii="仿宋" w:hAnsi="仿宋" w:eastAsia="仿宋" w:cs="仿宋"/>
          <w:sz w:val="32"/>
          <w:szCs w:val="32"/>
        </w:rPr>
      </w:pPr>
      <w:r>
        <w:rPr>
          <w:rFonts w:hint="eastAsia" w:ascii="仿宋" w:hAnsi="仿宋" w:eastAsia="仿宋" w:cs="仿宋"/>
          <w:sz w:val="32"/>
          <w:szCs w:val="32"/>
        </w:rPr>
        <w:t>（2）</w:t>
      </w:r>
      <w:r>
        <w:rPr>
          <w:rFonts w:hint="eastAsia" w:ascii="仿宋_GB2312" w:hAnsi="仿宋" w:eastAsia="仿宋_GB2312"/>
          <w:sz w:val="32"/>
          <w:szCs w:val="32"/>
        </w:rPr>
        <w:t>财政拨款支出分析</w:t>
      </w:r>
    </w:p>
    <w:p>
      <w:pPr>
        <w:ind w:firstLine="640" w:firstLineChars="200"/>
        <w:rPr>
          <w:rFonts w:ascii="仿宋" w:hAnsi="仿宋" w:eastAsia="仿宋" w:cs="仿宋"/>
          <w:sz w:val="32"/>
          <w:szCs w:val="32"/>
        </w:rPr>
      </w:pPr>
      <w:r>
        <w:rPr>
          <w:rFonts w:hint="eastAsia" w:ascii="仿宋" w:hAnsi="仿宋" w:eastAsia="仿宋" w:cs="仿宋"/>
          <w:sz w:val="32"/>
          <w:szCs w:val="32"/>
        </w:rPr>
        <w:t>2021年度财政拨款预算支出2441.</w:t>
      </w:r>
      <w:r>
        <w:rPr>
          <w:rFonts w:hint="eastAsia" w:ascii="仿宋" w:hAnsi="仿宋" w:eastAsia="仿宋" w:cs="仿宋"/>
          <w:sz w:val="32"/>
          <w:szCs w:val="32"/>
          <w:lang w:val="en-US" w:eastAsia="zh-CN"/>
        </w:rPr>
        <w:t>10</w:t>
      </w:r>
      <w:r>
        <w:rPr>
          <w:rFonts w:hint="eastAsia" w:ascii="仿宋" w:hAnsi="仿宋" w:eastAsia="仿宋" w:cs="仿宋"/>
          <w:sz w:val="32"/>
          <w:szCs w:val="32"/>
        </w:rPr>
        <w:t>万元。其中：一般公共服务支出2万元；社会保障和就业支出151.22万元；卫生健康支出84.84万元，住房保障支出108.91万元。</w:t>
      </w:r>
    </w:p>
    <w:p>
      <w:pPr>
        <w:ind w:firstLine="640" w:firstLineChars="200"/>
        <w:rPr>
          <w:rFonts w:ascii="仿宋" w:hAnsi="仿宋" w:eastAsia="仿宋" w:cs="仿宋"/>
          <w:sz w:val="32"/>
          <w:szCs w:val="32"/>
        </w:rPr>
      </w:pPr>
      <w:r>
        <w:rPr>
          <w:rFonts w:hint="eastAsia" w:ascii="仿宋" w:hAnsi="仿宋" w:eastAsia="仿宋" w:cs="仿宋"/>
          <w:sz w:val="32"/>
          <w:szCs w:val="32"/>
        </w:rPr>
        <w:drawing>
          <wp:anchor distT="0" distB="0" distL="114300" distR="114300" simplePos="0" relativeHeight="251684864" behindDoc="1" locked="0" layoutInCell="1" allowOverlap="1">
            <wp:simplePos x="0" y="0"/>
            <wp:positionH relativeFrom="column">
              <wp:posOffset>2862580</wp:posOffset>
            </wp:positionH>
            <wp:positionV relativeFrom="paragraph">
              <wp:posOffset>1167765</wp:posOffset>
            </wp:positionV>
            <wp:extent cx="2720975" cy="2045970"/>
            <wp:effectExtent l="5080" t="4445" r="17145" b="6985"/>
            <wp:wrapThrough wrapText="bothSides">
              <wp:wrapPolygon>
                <wp:start x="-40" y="-47"/>
                <wp:lineTo x="-40" y="21473"/>
                <wp:lineTo x="21434" y="21473"/>
                <wp:lineTo x="21434" y="-47"/>
                <wp:lineTo x="-40" y="-47"/>
              </wp:wrapPolygon>
            </wp:wrapThrough>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hint="eastAsia" w:ascii="仿宋" w:hAnsi="仿宋" w:eastAsia="仿宋" w:cs="仿宋"/>
          <w:sz w:val="32"/>
          <w:szCs w:val="32"/>
        </w:rPr>
        <w:drawing>
          <wp:anchor distT="0" distB="0" distL="114300" distR="114300" simplePos="0" relativeHeight="251679744" behindDoc="1" locked="0" layoutInCell="1" allowOverlap="1">
            <wp:simplePos x="0" y="0"/>
            <wp:positionH relativeFrom="column">
              <wp:posOffset>-316230</wp:posOffset>
            </wp:positionH>
            <wp:positionV relativeFrom="paragraph">
              <wp:posOffset>1170940</wp:posOffset>
            </wp:positionV>
            <wp:extent cx="2849880" cy="2047240"/>
            <wp:effectExtent l="4445" t="4445" r="22225" b="5715"/>
            <wp:wrapThrough wrapText="bothSides">
              <wp:wrapPolygon>
                <wp:start x="-34" y="-47"/>
                <wp:lineTo x="-34" y="21459"/>
                <wp:lineTo x="21480" y="21459"/>
                <wp:lineTo x="21480" y="-47"/>
                <wp:lineTo x="-34" y="-47"/>
              </wp:wrapPolygon>
            </wp:wrapThrough>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 w:hAnsi="仿宋" w:eastAsia="仿宋" w:cs="仿宋"/>
          <w:sz w:val="32"/>
          <w:szCs w:val="32"/>
        </w:rPr>
        <w:t>2021年度财政拨款支出2441.</w:t>
      </w:r>
      <w:r>
        <w:rPr>
          <w:rFonts w:hint="eastAsia" w:ascii="仿宋" w:hAnsi="仿宋" w:eastAsia="仿宋" w:cs="仿宋"/>
          <w:sz w:val="32"/>
          <w:szCs w:val="32"/>
          <w:lang w:val="en-US" w:eastAsia="zh-CN"/>
        </w:rPr>
        <w:t>10</w:t>
      </w:r>
      <w:r>
        <w:rPr>
          <w:rFonts w:hint="eastAsia" w:ascii="仿宋" w:hAnsi="仿宋" w:eastAsia="仿宋" w:cs="仿宋"/>
          <w:sz w:val="32"/>
          <w:szCs w:val="32"/>
        </w:rPr>
        <w:t>万元，其中：工资福利支出1627.47万元，商品和服务支出786.43万元，对个人和家庭补助支出27.2万元。</w:t>
      </w:r>
    </w:p>
    <w:p>
      <w:pPr>
        <w:snapToGrid w:val="0"/>
        <w:spacing w:line="520" w:lineRule="exact"/>
        <w:ind w:firstLine="643" w:firstLineChars="200"/>
        <w:rPr>
          <w:rFonts w:ascii="楷体" w:hAnsi="楷体" w:eastAsia="楷体" w:cs="楷体_GB2312"/>
          <w:b/>
          <w:sz w:val="32"/>
          <w:szCs w:val="32"/>
        </w:rPr>
      </w:pPr>
      <w:r>
        <w:rPr>
          <w:rFonts w:hint="eastAsia" w:ascii="楷体" w:hAnsi="楷体" w:eastAsia="楷体" w:cs="楷体_GB2312"/>
          <w:b/>
          <w:sz w:val="32"/>
          <w:szCs w:val="32"/>
        </w:rPr>
        <w:t>（三）年末结转和结余情况。</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1．结转和结余情况。</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2021年，结转资金302.06万元。其中：基本支出结转15.21万元，项目支出结转286.85万元。</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基本支出结转中，一般公共服务支出结转15.21万元。</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项目支出结转构成具体见下表：</w:t>
      </w:r>
    </w:p>
    <w:p>
      <w:pPr>
        <w:snapToGrid w:val="0"/>
        <w:spacing w:line="520" w:lineRule="exact"/>
        <w:rPr>
          <w:rFonts w:hint="eastAsia" w:ascii="仿宋_GB2312" w:hAnsi="仿宋" w:eastAsia="仿宋_GB2312" w:cs="仿宋_GB2312"/>
          <w:sz w:val="32"/>
          <w:szCs w:val="32"/>
        </w:rPr>
      </w:pPr>
      <w:r>
        <w:rPr>
          <w:rFonts w:hint="eastAsia" w:ascii="仿宋_GB2312" w:hAnsi="仿宋" w:eastAsia="仿宋_GB2312" w:cs="仿宋_GB2312"/>
          <w:sz w:val="32"/>
          <w:szCs w:val="32"/>
        </w:rPr>
        <w:drawing>
          <wp:anchor distT="0" distB="0" distL="114300" distR="114300" simplePos="0" relativeHeight="251698176" behindDoc="1" locked="0" layoutInCell="1" allowOverlap="1">
            <wp:simplePos x="0" y="0"/>
            <wp:positionH relativeFrom="column">
              <wp:posOffset>-133350</wp:posOffset>
            </wp:positionH>
            <wp:positionV relativeFrom="paragraph">
              <wp:posOffset>32385</wp:posOffset>
            </wp:positionV>
            <wp:extent cx="5537200" cy="2710180"/>
            <wp:effectExtent l="19050" t="0" r="25400" b="0"/>
            <wp:wrapThrough wrapText="bothSides">
              <wp:wrapPolygon>
                <wp:start x="-74" y="0"/>
                <wp:lineTo x="-74" y="21560"/>
                <wp:lineTo x="21699" y="21560"/>
                <wp:lineTo x="21699" y="0"/>
                <wp:lineTo x="-74" y="0"/>
              </wp:wrapPolygon>
            </wp:wrapThrough>
            <wp:docPr id="15"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2．消化结转和结余的对策。</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结转资金将在2022年1月作为存量资金上缴。</w:t>
      </w:r>
    </w:p>
    <w:p>
      <w:pPr>
        <w:snapToGrid w:val="0"/>
        <w:spacing w:line="520" w:lineRule="exact"/>
        <w:ind w:firstLine="643" w:firstLineChars="200"/>
        <w:rPr>
          <w:rFonts w:ascii="楷体" w:hAnsi="楷体" w:eastAsia="楷体" w:cs="楷体_GB2312"/>
          <w:b/>
          <w:sz w:val="32"/>
          <w:szCs w:val="32"/>
        </w:rPr>
      </w:pPr>
      <w:r>
        <w:rPr>
          <w:rFonts w:hint="eastAsia" w:ascii="楷体" w:hAnsi="楷体" w:eastAsia="楷体" w:cs="楷体_GB2312"/>
          <w:b/>
          <w:sz w:val="32"/>
          <w:szCs w:val="32"/>
        </w:rPr>
        <w:t>（四）与预算支出相关的其他指标分析。</w:t>
      </w:r>
    </w:p>
    <w:tbl>
      <w:tblPr>
        <w:tblStyle w:val="6"/>
        <w:tblpPr w:leftFromText="180" w:rightFromText="180" w:vertAnchor="text" w:horzAnchor="page" w:tblpX="332" w:tblpY="362"/>
        <w:tblOverlap w:val="never"/>
        <w:tblW w:w="10768" w:type="dxa"/>
        <w:tblInd w:w="0" w:type="dxa"/>
        <w:tblLayout w:type="fixed"/>
        <w:tblCellMar>
          <w:top w:w="15" w:type="dxa"/>
          <w:left w:w="15" w:type="dxa"/>
          <w:bottom w:w="15" w:type="dxa"/>
          <w:right w:w="15" w:type="dxa"/>
        </w:tblCellMar>
      </w:tblPr>
      <w:tblGrid>
        <w:gridCol w:w="4855"/>
        <w:gridCol w:w="718"/>
        <w:gridCol w:w="1121"/>
        <w:gridCol w:w="1295"/>
        <w:gridCol w:w="1347"/>
        <w:gridCol w:w="1432"/>
      </w:tblGrid>
      <w:tr>
        <w:tblPrEx>
          <w:tblLayout w:type="fixed"/>
          <w:tblCellMar>
            <w:top w:w="15" w:type="dxa"/>
            <w:left w:w="15" w:type="dxa"/>
            <w:bottom w:w="15" w:type="dxa"/>
            <w:right w:w="15" w:type="dxa"/>
          </w:tblCellMar>
        </w:tblPrEx>
        <w:trPr>
          <w:trHeight w:val="349" w:hRule="atLeast"/>
        </w:trPr>
        <w:tc>
          <w:tcPr>
            <w:tcW w:w="4855" w:type="dxa"/>
            <w:vMerge w:val="restart"/>
            <w:tcBorders>
              <w:top w:val="single" w:color="000000" w:sz="4" w:space="0"/>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项  目</w:t>
            </w:r>
          </w:p>
        </w:tc>
        <w:tc>
          <w:tcPr>
            <w:tcW w:w="718" w:type="dxa"/>
            <w:vMerge w:val="restart"/>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行次</w:t>
            </w:r>
          </w:p>
        </w:tc>
        <w:tc>
          <w:tcPr>
            <w:tcW w:w="2416"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年初数</w:t>
            </w:r>
          </w:p>
        </w:tc>
        <w:tc>
          <w:tcPr>
            <w:tcW w:w="2779" w:type="dxa"/>
            <w:gridSpan w:val="2"/>
            <w:tcBorders>
              <w:top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年末数</w:t>
            </w:r>
          </w:p>
        </w:tc>
      </w:tr>
      <w:tr>
        <w:tblPrEx>
          <w:tblLayout w:type="fixed"/>
          <w:tblCellMar>
            <w:top w:w="15" w:type="dxa"/>
            <w:left w:w="15" w:type="dxa"/>
            <w:bottom w:w="15" w:type="dxa"/>
            <w:right w:w="15" w:type="dxa"/>
          </w:tblCellMar>
        </w:tblPrEx>
        <w:trPr>
          <w:trHeight w:val="349" w:hRule="atLeast"/>
        </w:trPr>
        <w:tc>
          <w:tcPr>
            <w:tcW w:w="4855" w:type="dxa"/>
            <w:vMerge w:val="continue"/>
            <w:tcBorders>
              <w:top w:val="single" w:color="000000" w:sz="4" w:space="0"/>
              <w:left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718"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1121"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数量</w:t>
            </w:r>
          </w:p>
        </w:tc>
        <w:tc>
          <w:tcPr>
            <w:tcW w:w="1295"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w:t>
            </w:r>
          </w:p>
        </w:tc>
        <w:tc>
          <w:tcPr>
            <w:tcW w:w="1347"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数量</w:t>
            </w:r>
          </w:p>
        </w:tc>
        <w:tc>
          <w:tcPr>
            <w:tcW w:w="1432"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金额</w:t>
            </w:r>
          </w:p>
        </w:tc>
      </w:tr>
      <w:tr>
        <w:tblPrEx>
          <w:tblLayout w:type="fixed"/>
          <w:tblCellMar>
            <w:top w:w="15" w:type="dxa"/>
            <w:left w:w="15" w:type="dxa"/>
            <w:bottom w:w="15" w:type="dxa"/>
            <w:right w:w="15" w:type="dxa"/>
          </w:tblCellMar>
        </w:tblPrEx>
        <w:trPr>
          <w:trHeight w:val="349" w:hRule="atLeast"/>
        </w:trPr>
        <w:tc>
          <w:tcPr>
            <w:tcW w:w="4855" w:type="dxa"/>
            <w:tcBorders>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栏  次</w:t>
            </w:r>
          </w:p>
        </w:tc>
        <w:tc>
          <w:tcPr>
            <w:tcW w:w="718" w:type="dxa"/>
            <w:vMerge w:val="continue"/>
            <w:tcBorders>
              <w:top w:val="single" w:color="000000" w:sz="4" w:space="0"/>
              <w:bottom w:val="single" w:color="000000" w:sz="4" w:space="0"/>
              <w:right w:val="single" w:color="000000" w:sz="4" w:space="0"/>
            </w:tcBorders>
            <w:shd w:val="clear" w:color="FFFFFF" w:fill="C0C0C0"/>
            <w:vAlign w:val="center"/>
          </w:tcPr>
          <w:p>
            <w:pPr>
              <w:jc w:val="center"/>
              <w:rPr>
                <w:rFonts w:ascii="宋体" w:hAnsi="宋体" w:eastAsia="宋体" w:cs="宋体"/>
                <w:color w:val="000000"/>
                <w:sz w:val="22"/>
                <w:szCs w:val="22"/>
              </w:rPr>
            </w:pPr>
          </w:p>
        </w:tc>
        <w:tc>
          <w:tcPr>
            <w:tcW w:w="1121"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295"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347"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432"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r>
      <w:tr>
        <w:tblPrEx>
          <w:tblLayout w:type="fixed"/>
          <w:tblCellMar>
            <w:top w:w="15" w:type="dxa"/>
            <w:left w:w="15" w:type="dxa"/>
            <w:bottom w:w="15" w:type="dxa"/>
            <w:right w:w="15" w:type="dxa"/>
          </w:tblCellMar>
        </w:tblPrEx>
        <w:trPr>
          <w:trHeight w:val="349" w:hRule="atLeast"/>
        </w:trPr>
        <w:tc>
          <w:tcPr>
            <w:tcW w:w="4855" w:type="dxa"/>
            <w:tcBorders>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财务会计补充信息</w:t>
            </w:r>
          </w:p>
        </w:tc>
        <w:tc>
          <w:tcPr>
            <w:tcW w:w="718"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w:t>
            </w:r>
          </w:p>
        </w:tc>
        <w:tc>
          <w:tcPr>
            <w:tcW w:w="1121" w:type="dxa"/>
            <w:tcBorders>
              <w:bottom w:val="single" w:color="000000" w:sz="4" w:space="0"/>
              <w:right w:val="single" w:color="000000" w:sz="4" w:space="0"/>
            </w:tcBorders>
            <w:shd w:val="clear" w:color="auto" w:fill="auto"/>
          </w:tcPr>
          <w:p>
            <w:pPr>
              <w:jc w:val="center"/>
            </w:pPr>
            <w:r>
              <w:rPr>
                <w:rFonts w:hint="eastAsia"/>
              </w:rPr>
              <w:t>—</w:t>
            </w:r>
          </w:p>
        </w:tc>
        <w:tc>
          <w:tcPr>
            <w:tcW w:w="1295" w:type="dxa"/>
            <w:tcBorders>
              <w:bottom w:val="single" w:color="000000" w:sz="4" w:space="0"/>
              <w:right w:val="single" w:color="000000" w:sz="4" w:space="0"/>
            </w:tcBorders>
            <w:shd w:val="clear" w:color="auto" w:fill="auto"/>
          </w:tcPr>
          <w:p>
            <w:pPr>
              <w:jc w:val="center"/>
            </w:pPr>
            <w:r>
              <w:t>—</w:t>
            </w:r>
          </w:p>
        </w:tc>
        <w:tc>
          <w:tcPr>
            <w:tcW w:w="1347" w:type="dxa"/>
            <w:tcBorders>
              <w:bottom w:val="single" w:color="000000" w:sz="4" w:space="0"/>
              <w:right w:val="single" w:color="000000" w:sz="4" w:space="0"/>
            </w:tcBorders>
            <w:shd w:val="clear" w:color="auto" w:fill="auto"/>
          </w:tcPr>
          <w:p>
            <w:pPr>
              <w:jc w:val="center"/>
            </w:pPr>
            <w:r>
              <w:t>—</w:t>
            </w:r>
          </w:p>
        </w:tc>
        <w:tc>
          <w:tcPr>
            <w:tcW w:w="1432" w:type="dxa"/>
            <w:tcBorders>
              <w:bottom w:val="single" w:color="000000" w:sz="4" w:space="0"/>
              <w:right w:val="single" w:color="000000" w:sz="4" w:space="0"/>
            </w:tcBorders>
            <w:shd w:val="clear" w:color="auto" w:fill="auto"/>
          </w:tcPr>
          <w:p>
            <w:pPr>
              <w:jc w:val="center"/>
            </w:pPr>
            <w:r>
              <w:t>—</w:t>
            </w:r>
          </w:p>
        </w:tc>
      </w:tr>
      <w:tr>
        <w:tblPrEx>
          <w:tblLayout w:type="fixed"/>
          <w:tblCellMar>
            <w:top w:w="15" w:type="dxa"/>
            <w:left w:w="15" w:type="dxa"/>
            <w:bottom w:w="15" w:type="dxa"/>
            <w:right w:w="15" w:type="dxa"/>
          </w:tblCellMar>
        </w:tblPrEx>
        <w:trPr>
          <w:trHeight w:val="349" w:hRule="atLeast"/>
        </w:trPr>
        <w:tc>
          <w:tcPr>
            <w:tcW w:w="4855" w:type="dxa"/>
            <w:tcBorders>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一、资产信息</w:t>
            </w:r>
          </w:p>
        </w:tc>
        <w:tc>
          <w:tcPr>
            <w:tcW w:w="718"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w:t>
            </w:r>
          </w:p>
        </w:tc>
        <w:tc>
          <w:tcPr>
            <w:tcW w:w="1121" w:type="dxa"/>
            <w:tcBorders>
              <w:bottom w:val="single" w:color="000000" w:sz="4" w:space="0"/>
              <w:right w:val="single" w:color="000000" w:sz="4" w:space="0"/>
            </w:tcBorders>
            <w:shd w:val="clear" w:color="auto" w:fill="auto"/>
          </w:tcPr>
          <w:p>
            <w:pPr>
              <w:jc w:val="center"/>
            </w:pPr>
            <w:r>
              <w:rPr>
                <w:rFonts w:hint="eastAsia"/>
              </w:rPr>
              <w:t>—</w:t>
            </w:r>
          </w:p>
        </w:tc>
        <w:tc>
          <w:tcPr>
            <w:tcW w:w="1295" w:type="dxa"/>
            <w:tcBorders>
              <w:bottom w:val="single" w:color="000000" w:sz="4" w:space="0"/>
              <w:right w:val="single" w:color="000000" w:sz="4" w:space="0"/>
            </w:tcBorders>
            <w:shd w:val="clear" w:color="auto" w:fill="auto"/>
          </w:tcPr>
          <w:p>
            <w:pPr>
              <w:jc w:val="center"/>
            </w:pPr>
            <w:r>
              <w:t>—</w:t>
            </w:r>
          </w:p>
        </w:tc>
        <w:tc>
          <w:tcPr>
            <w:tcW w:w="1347" w:type="dxa"/>
            <w:tcBorders>
              <w:bottom w:val="single" w:color="000000" w:sz="4" w:space="0"/>
              <w:right w:val="single" w:color="000000" w:sz="4" w:space="0"/>
            </w:tcBorders>
            <w:shd w:val="clear" w:color="auto" w:fill="auto"/>
          </w:tcPr>
          <w:p>
            <w:pPr>
              <w:jc w:val="center"/>
            </w:pPr>
            <w:r>
              <w:t>—</w:t>
            </w:r>
          </w:p>
        </w:tc>
        <w:tc>
          <w:tcPr>
            <w:tcW w:w="1432" w:type="dxa"/>
            <w:tcBorders>
              <w:bottom w:val="single" w:color="000000" w:sz="4" w:space="0"/>
              <w:right w:val="single" w:color="000000" w:sz="4" w:space="0"/>
            </w:tcBorders>
            <w:shd w:val="clear" w:color="auto" w:fill="auto"/>
          </w:tcPr>
          <w:p>
            <w:pPr>
              <w:jc w:val="center"/>
            </w:pPr>
            <w:r>
              <w:t>—</w:t>
            </w:r>
          </w:p>
        </w:tc>
      </w:tr>
      <w:tr>
        <w:tblPrEx>
          <w:tblLayout w:type="fixed"/>
          <w:tblCellMar>
            <w:top w:w="15" w:type="dxa"/>
            <w:left w:w="15" w:type="dxa"/>
            <w:bottom w:w="15" w:type="dxa"/>
            <w:right w:w="15" w:type="dxa"/>
          </w:tblCellMar>
        </w:tblPrEx>
        <w:trPr>
          <w:trHeight w:val="349" w:hRule="atLeast"/>
        </w:trPr>
        <w:tc>
          <w:tcPr>
            <w:tcW w:w="4855" w:type="dxa"/>
            <w:tcBorders>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（一）货币资金</w:t>
            </w:r>
          </w:p>
        </w:tc>
        <w:tc>
          <w:tcPr>
            <w:tcW w:w="718"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w:t>
            </w:r>
          </w:p>
        </w:tc>
        <w:tc>
          <w:tcPr>
            <w:tcW w:w="1121" w:type="dxa"/>
            <w:tcBorders>
              <w:bottom w:val="single" w:color="000000" w:sz="4" w:space="0"/>
              <w:right w:val="single" w:color="000000" w:sz="4" w:space="0"/>
            </w:tcBorders>
            <w:shd w:val="clear" w:color="auto" w:fill="auto"/>
          </w:tcPr>
          <w:p>
            <w:pPr>
              <w:jc w:val="center"/>
            </w:pPr>
            <w:r>
              <w:rPr>
                <w:rFonts w:hint="eastAsia"/>
              </w:rPr>
              <w:t>—</w:t>
            </w:r>
          </w:p>
        </w:tc>
        <w:tc>
          <w:tcPr>
            <w:tcW w:w="1295" w:type="dxa"/>
            <w:tcBorders>
              <w:bottom w:val="single" w:color="000000" w:sz="4" w:space="0"/>
              <w:right w:val="single" w:color="000000" w:sz="4" w:space="0"/>
            </w:tcBorders>
            <w:shd w:val="clear" w:color="auto" w:fill="auto"/>
          </w:tcPr>
          <w:p>
            <w:pPr>
              <w:jc w:val="center"/>
            </w:pPr>
            <w:r>
              <w:t>841.37</w:t>
            </w:r>
          </w:p>
        </w:tc>
        <w:tc>
          <w:tcPr>
            <w:tcW w:w="1347" w:type="dxa"/>
            <w:tcBorders>
              <w:bottom w:val="single" w:color="000000" w:sz="4" w:space="0"/>
              <w:right w:val="single" w:color="000000" w:sz="4" w:space="0"/>
            </w:tcBorders>
            <w:shd w:val="clear" w:color="auto" w:fill="auto"/>
          </w:tcPr>
          <w:p>
            <w:pPr>
              <w:jc w:val="center"/>
            </w:pPr>
            <w:r>
              <w:t>—</w:t>
            </w:r>
          </w:p>
        </w:tc>
        <w:tc>
          <w:tcPr>
            <w:tcW w:w="1432" w:type="dxa"/>
            <w:tcBorders>
              <w:bottom w:val="single" w:color="000000" w:sz="4" w:space="0"/>
              <w:right w:val="single" w:color="000000" w:sz="4" w:space="0"/>
            </w:tcBorders>
            <w:shd w:val="clear" w:color="auto" w:fill="auto"/>
          </w:tcPr>
          <w:p>
            <w:pPr>
              <w:jc w:val="center"/>
            </w:pPr>
            <w:r>
              <w:t>163.39</w:t>
            </w:r>
          </w:p>
        </w:tc>
      </w:tr>
      <w:tr>
        <w:tblPrEx>
          <w:tblLayout w:type="fixed"/>
          <w:tblCellMar>
            <w:top w:w="15" w:type="dxa"/>
            <w:left w:w="15" w:type="dxa"/>
            <w:bottom w:w="15" w:type="dxa"/>
            <w:right w:w="15" w:type="dxa"/>
          </w:tblCellMar>
        </w:tblPrEx>
        <w:trPr>
          <w:trHeight w:val="349" w:hRule="atLeast"/>
        </w:trPr>
        <w:tc>
          <w:tcPr>
            <w:tcW w:w="4855" w:type="dxa"/>
            <w:tcBorders>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其中：银行存款</w:t>
            </w:r>
          </w:p>
        </w:tc>
        <w:tc>
          <w:tcPr>
            <w:tcW w:w="718"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w:t>
            </w:r>
          </w:p>
        </w:tc>
        <w:tc>
          <w:tcPr>
            <w:tcW w:w="1121" w:type="dxa"/>
            <w:tcBorders>
              <w:bottom w:val="single" w:color="000000" w:sz="4" w:space="0"/>
              <w:right w:val="single" w:color="000000" w:sz="4" w:space="0"/>
            </w:tcBorders>
            <w:shd w:val="clear" w:color="auto" w:fill="auto"/>
          </w:tcPr>
          <w:p>
            <w:pPr>
              <w:jc w:val="center"/>
            </w:pPr>
            <w:r>
              <w:rPr>
                <w:rFonts w:hint="eastAsia"/>
              </w:rPr>
              <w:t>—</w:t>
            </w:r>
          </w:p>
        </w:tc>
        <w:tc>
          <w:tcPr>
            <w:tcW w:w="1295" w:type="dxa"/>
            <w:tcBorders>
              <w:bottom w:val="single" w:color="000000" w:sz="4" w:space="0"/>
              <w:right w:val="single" w:color="000000" w:sz="4" w:space="0"/>
            </w:tcBorders>
            <w:shd w:val="clear" w:color="auto" w:fill="auto"/>
          </w:tcPr>
          <w:p>
            <w:pPr>
              <w:jc w:val="center"/>
            </w:pPr>
            <w:r>
              <w:t>840.41</w:t>
            </w:r>
          </w:p>
        </w:tc>
        <w:tc>
          <w:tcPr>
            <w:tcW w:w="1347" w:type="dxa"/>
            <w:tcBorders>
              <w:bottom w:val="single" w:color="000000" w:sz="4" w:space="0"/>
              <w:right w:val="single" w:color="000000" w:sz="4" w:space="0"/>
            </w:tcBorders>
            <w:shd w:val="clear" w:color="auto" w:fill="auto"/>
          </w:tcPr>
          <w:p>
            <w:pPr>
              <w:jc w:val="center"/>
            </w:pPr>
            <w:r>
              <w:t>—</w:t>
            </w:r>
          </w:p>
        </w:tc>
        <w:tc>
          <w:tcPr>
            <w:tcW w:w="1432" w:type="dxa"/>
            <w:tcBorders>
              <w:bottom w:val="single" w:color="000000" w:sz="4" w:space="0"/>
              <w:right w:val="single" w:color="000000" w:sz="4" w:space="0"/>
            </w:tcBorders>
            <w:shd w:val="clear" w:color="auto" w:fill="auto"/>
          </w:tcPr>
          <w:p>
            <w:pPr>
              <w:jc w:val="center"/>
            </w:pPr>
            <w:r>
              <w:t>163.39</w:t>
            </w:r>
          </w:p>
        </w:tc>
      </w:tr>
      <w:tr>
        <w:tblPrEx>
          <w:tblLayout w:type="fixed"/>
          <w:tblCellMar>
            <w:top w:w="15" w:type="dxa"/>
            <w:left w:w="15" w:type="dxa"/>
            <w:bottom w:w="15" w:type="dxa"/>
            <w:right w:w="15" w:type="dxa"/>
          </w:tblCellMar>
        </w:tblPrEx>
        <w:trPr>
          <w:trHeight w:val="349" w:hRule="atLeast"/>
        </w:trPr>
        <w:tc>
          <w:tcPr>
            <w:tcW w:w="4855" w:type="dxa"/>
            <w:tcBorders>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（二）财政应返还额度</w:t>
            </w:r>
          </w:p>
        </w:tc>
        <w:tc>
          <w:tcPr>
            <w:tcW w:w="718"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w:t>
            </w:r>
          </w:p>
        </w:tc>
        <w:tc>
          <w:tcPr>
            <w:tcW w:w="1121" w:type="dxa"/>
            <w:tcBorders>
              <w:bottom w:val="single" w:color="000000" w:sz="4" w:space="0"/>
              <w:right w:val="single" w:color="000000" w:sz="4" w:space="0"/>
            </w:tcBorders>
            <w:shd w:val="clear" w:color="auto" w:fill="auto"/>
          </w:tcPr>
          <w:p>
            <w:pPr>
              <w:jc w:val="center"/>
            </w:pPr>
            <w:r>
              <w:rPr>
                <w:rFonts w:hint="eastAsia"/>
              </w:rPr>
              <w:t>—</w:t>
            </w:r>
          </w:p>
        </w:tc>
        <w:tc>
          <w:tcPr>
            <w:tcW w:w="1295" w:type="dxa"/>
            <w:tcBorders>
              <w:bottom w:val="single" w:color="000000" w:sz="4" w:space="0"/>
              <w:right w:val="single" w:color="000000" w:sz="4" w:space="0"/>
            </w:tcBorders>
            <w:shd w:val="clear" w:color="auto" w:fill="auto"/>
          </w:tcPr>
          <w:p>
            <w:pPr>
              <w:jc w:val="center"/>
            </w:pPr>
            <w:r>
              <w:t>878.39</w:t>
            </w:r>
          </w:p>
        </w:tc>
        <w:tc>
          <w:tcPr>
            <w:tcW w:w="1347" w:type="dxa"/>
            <w:tcBorders>
              <w:bottom w:val="single" w:color="000000" w:sz="4" w:space="0"/>
              <w:right w:val="single" w:color="000000" w:sz="4" w:space="0"/>
            </w:tcBorders>
            <w:shd w:val="clear" w:color="auto" w:fill="auto"/>
          </w:tcPr>
          <w:p>
            <w:pPr>
              <w:jc w:val="center"/>
            </w:pPr>
            <w:r>
              <w:t>—</w:t>
            </w:r>
          </w:p>
        </w:tc>
        <w:tc>
          <w:tcPr>
            <w:tcW w:w="1432" w:type="dxa"/>
            <w:tcBorders>
              <w:bottom w:val="single" w:color="000000" w:sz="4" w:space="0"/>
              <w:right w:val="single" w:color="000000" w:sz="4" w:space="0"/>
            </w:tcBorders>
            <w:shd w:val="clear" w:color="auto" w:fill="auto"/>
          </w:tcPr>
          <w:p>
            <w:pPr>
              <w:jc w:val="center"/>
            </w:pPr>
            <w:r>
              <w:t>317.95</w:t>
            </w:r>
          </w:p>
        </w:tc>
      </w:tr>
      <w:tr>
        <w:tblPrEx>
          <w:tblLayout w:type="fixed"/>
          <w:tblCellMar>
            <w:top w:w="15" w:type="dxa"/>
            <w:left w:w="15" w:type="dxa"/>
            <w:bottom w:w="15" w:type="dxa"/>
            <w:right w:w="15" w:type="dxa"/>
          </w:tblCellMar>
        </w:tblPrEx>
        <w:trPr>
          <w:trHeight w:val="349" w:hRule="atLeast"/>
        </w:trPr>
        <w:tc>
          <w:tcPr>
            <w:tcW w:w="4855" w:type="dxa"/>
            <w:tcBorders>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（三）固定资产原值</w:t>
            </w:r>
          </w:p>
        </w:tc>
        <w:tc>
          <w:tcPr>
            <w:tcW w:w="718"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6</w:t>
            </w:r>
          </w:p>
        </w:tc>
        <w:tc>
          <w:tcPr>
            <w:tcW w:w="1121" w:type="dxa"/>
            <w:tcBorders>
              <w:bottom w:val="single" w:color="000000" w:sz="4" w:space="0"/>
              <w:right w:val="single" w:color="000000" w:sz="4" w:space="0"/>
            </w:tcBorders>
            <w:shd w:val="clear" w:color="auto" w:fill="auto"/>
          </w:tcPr>
          <w:p>
            <w:pPr>
              <w:jc w:val="center"/>
            </w:pPr>
            <w:r>
              <w:rPr>
                <w:rFonts w:hint="eastAsia"/>
              </w:rPr>
              <w:t>—</w:t>
            </w:r>
          </w:p>
        </w:tc>
        <w:tc>
          <w:tcPr>
            <w:tcW w:w="1295" w:type="dxa"/>
            <w:tcBorders>
              <w:bottom w:val="single" w:color="000000" w:sz="4" w:space="0"/>
              <w:right w:val="single" w:color="000000" w:sz="4" w:space="0"/>
            </w:tcBorders>
            <w:shd w:val="clear" w:color="auto" w:fill="auto"/>
          </w:tcPr>
          <w:p>
            <w:pPr>
              <w:jc w:val="center"/>
            </w:pPr>
            <w:r>
              <w:t>822.77</w:t>
            </w:r>
          </w:p>
        </w:tc>
        <w:tc>
          <w:tcPr>
            <w:tcW w:w="1347" w:type="dxa"/>
            <w:tcBorders>
              <w:bottom w:val="single" w:color="000000" w:sz="4" w:space="0"/>
              <w:right w:val="single" w:color="000000" w:sz="4" w:space="0"/>
            </w:tcBorders>
            <w:shd w:val="clear" w:color="auto" w:fill="auto"/>
          </w:tcPr>
          <w:p>
            <w:pPr>
              <w:jc w:val="center"/>
            </w:pPr>
            <w:r>
              <w:t>—</w:t>
            </w:r>
          </w:p>
        </w:tc>
        <w:tc>
          <w:tcPr>
            <w:tcW w:w="1432" w:type="dxa"/>
            <w:tcBorders>
              <w:bottom w:val="single" w:color="000000" w:sz="4" w:space="0"/>
              <w:right w:val="single" w:color="000000" w:sz="4" w:space="0"/>
            </w:tcBorders>
            <w:shd w:val="clear" w:color="auto" w:fill="auto"/>
          </w:tcPr>
          <w:p>
            <w:pPr>
              <w:jc w:val="center"/>
            </w:pPr>
            <w:r>
              <w:t>915.20</w:t>
            </w:r>
          </w:p>
        </w:tc>
      </w:tr>
      <w:tr>
        <w:tblPrEx>
          <w:tblLayout w:type="fixed"/>
          <w:tblCellMar>
            <w:top w:w="15" w:type="dxa"/>
            <w:left w:w="15" w:type="dxa"/>
            <w:bottom w:w="15" w:type="dxa"/>
            <w:right w:w="15" w:type="dxa"/>
          </w:tblCellMar>
        </w:tblPrEx>
        <w:trPr>
          <w:trHeight w:val="349" w:hRule="atLeast"/>
        </w:trPr>
        <w:tc>
          <w:tcPr>
            <w:tcW w:w="4855" w:type="dxa"/>
            <w:tcBorders>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其中：房屋（平方米）</w:t>
            </w:r>
          </w:p>
        </w:tc>
        <w:tc>
          <w:tcPr>
            <w:tcW w:w="718"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7</w:t>
            </w:r>
          </w:p>
        </w:tc>
        <w:tc>
          <w:tcPr>
            <w:tcW w:w="1121" w:type="dxa"/>
            <w:tcBorders>
              <w:bottom w:val="single" w:color="000000" w:sz="4" w:space="0"/>
              <w:right w:val="single" w:color="000000" w:sz="4" w:space="0"/>
            </w:tcBorders>
            <w:shd w:val="clear" w:color="auto" w:fill="auto"/>
          </w:tcPr>
          <w:p>
            <w:pPr>
              <w:jc w:val="center"/>
            </w:pPr>
            <w:r>
              <w:t>0.00</w:t>
            </w:r>
          </w:p>
        </w:tc>
        <w:tc>
          <w:tcPr>
            <w:tcW w:w="1295" w:type="dxa"/>
            <w:tcBorders>
              <w:bottom w:val="single" w:color="000000" w:sz="4" w:space="0"/>
              <w:right w:val="single" w:color="000000" w:sz="4" w:space="0"/>
            </w:tcBorders>
            <w:shd w:val="clear" w:color="auto" w:fill="auto"/>
          </w:tcPr>
          <w:p>
            <w:pPr>
              <w:jc w:val="center"/>
            </w:pPr>
            <w:r>
              <w:t>0.00</w:t>
            </w:r>
          </w:p>
        </w:tc>
        <w:tc>
          <w:tcPr>
            <w:tcW w:w="1347" w:type="dxa"/>
            <w:tcBorders>
              <w:bottom w:val="single" w:color="000000" w:sz="4" w:space="0"/>
              <w:right w:val="single" w:color="000000" w:sz="4" w:space="0"/>
            </w:tcBorders>
            <w:shd w:val="clear" w:color="auto" w:fill="auto"/>
          </w:tcPr>
          <w:p>
            <w:pPr>
              <w:jc w:val="center"/>
            </w:pPr>
            <w:r>
              <w:t>217.39</w:t>
            </w:r>
          </w:p>
        </w:tc>
        <w:tc>
          <w:tcPr>
            <w:tcW w:w="1432" w:type="dxa"/>
            <w:tcBorders>
              <w:bottom w:val="single" w:color="000000" w:sz="4" w:space="0"/>
              <w:right w:val="single" w:color="000000" w:sz="4" w:space="0"/>
            </w:tcBorders>
            <w:shd w:val="clear" w:color="auto" w:fill="auto"/>
          </w:tcPr>
          <w:p>
            <w:pPr>
              <w:jc w:val="center"/>
            </w:pPr>
            <w:r>
              <w:t>160.72</w:t>
            </w:r>
          </w:p>
        </w:tc>
      </w:tr>
      <w:tr>
        <w:tblPrEx>
          <w:tblLayout w:type="fixed"/>
          <w:tblCellMar>
            <w:top w:w="15" w:type="dxa"/>
            <w:left w:w="15" w:type="dxa"/>
            <w:bottom w:w="15" w:type="dxa"/>
            <w:right w:w="15" w:type="dxa"/>
          </w:tblCellMar>
        </w:tblPrEx>
        <w:trPr>
          <w:trHeight w:val="349" w:hRule="atLeast"/>
        </w:trPr>
        <w:tc>
          <w:tcPr>
            <w:tcW w:w="4855" w:type="dxa"/>
            <w:tcBorders>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1.办公用房</w:t>
            </w:r>
          </w:p>
        </w:tc>
        <w:tc>
          <w:tcPr>
            <w:tcW w:w="718"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8</w:t>
            </w:r>
          </w:p>
        </w:tc>
        <w:tc>
          <w:tcPr>
            <w:tcW w:w="1121" w:type="dxa"/>
            <w:tcBorders>
              <w:bottom w:val="single" w:color="000000" w:sz="4" w:space="0"/>
              <w:right w:val="single" w:color="000000" w:sz="4" w:space="0"/>
            </w:tcBorders>
            <w:shd w:val="clear" w:color="auto" w:fill="auto"/>
          </w:tcPr>
          <w:p>
            <w:pPr>
              <w:jc w:val="center"/>
            </w:pPr>
            <w:r>
              <w:t>0.00</w:t>
            </w:r>
          </w:p>
        </w:tc>
        <w:tc>
          <w:tcPr>
            <w:tcW w:w="1295" w:type="dxa"/>
            <w:tcBorders>
              <w:bottom w:val="single" w:color="000000" w:sz="4" w:space="0"/>
              <w:right w:val="single" w:color="000000" w:sz="4" w:space="0"/>
            </w:tcBorders>
            <w:shd w:val="clear" w:color="auto" w:fill="auto"/>
          </w:tcPr>
          <w:p>
            <w:pPr>
              <w:jc w:val="center"/>
            </w:pPr>
            <w:r>
              <w:t>0.00</w:t>
            </w:r>
          </w:p>
        </w:tc>
        <w:tc>
          <w:tcPr>
            <w:tcW w:w="1347" w:type="dxa"/>
            <w:tcBorders>
              <w:bottom w:val="single" w:color="000000" w:sz="4" w:space="0"/>
              <w:right w:val="single" w:color="000000" w:sz="4" w:space="0"/>
            </w:tcBorders>
            <w:shd w:val="clear" w:color="auto" w:fill="auto"/>
          </w:tcPr>
          <w:p>
            <w:pPr>
              <w:jc w:val="center"/>
            </w:pPr>
            <w:r>
              <w:t>217.39</w:t>
            </w:r>
          </w:p>
        </w:tc>
        <w:tc>
          <w:tcPr>
            <w:tcW w:w="1432" w:type="dxa"/>
            <w:tcBorders>
              <w:bottom w:val="single" w:color="000000" w:sz="4" w:space="0"/>
              <w:right w:val="single" w:color="000000" w:sz="4" w:space="0"/>
            </w:tcBorders>
            <w:shd w:val="clear" w:color="auto" w:fill="auto"/>
          </w:tcPr>
          <w:p>
            <w:pPr>
              <w:jc w:val="center"/>
            </w:pPr>
            <w:r>
              <w:t>160.72</w:t>
            </w:r>
          </w:p>
        </w:tc>
      </w:tr>
      <w:tr>
        <w:tblPrEx>
          <w:tblLayout w:type="fixed"/>
          <w:tblCellMar>
            <w:top w:w="15" w:type="dxa"/>
            <w:left w:w="15" w:type="dxa"/>
            <w:bottom w:w="15" w:type="dxa"/>
            <w:right w:w="15" w:type="dxa"/>
          </w:tblCellMar>
        </w:tblPrEx>
        <w:trPr>
          <w:trHeight w:val="349" w:hRule="atLeast"/>
        </w:trPr>
        <w:tc>
          <w:tcPr>
            <w:tcW w:w="4855" w:type="dxa"/>
            <w:tcBorders>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2.业务用房</w:t>
            </w:r>
          </w:p>
        </w:tc>
        <w:tc>
          <w:tcPr>
            <w:tcW w:w="718"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9</w:t>
            </w:r>
          </w:p>
        </w:tc>
        <w:tc>
          <w:tcPr>
            <w:tcW w:w="1121" w:type="dxa"/>
            <w:tcBorders>
              <w:bottom w:val="single" w:color="000000" w:sz="4" w:space="0"/>
              <w:right w:val="single" w:color="000000" w:sz="4" w:space="0"/>
            </w:tcBorders>
            <w:shd w:val="clear" w:color="auto" w:fill="auto"/>
          </w:tcPr>
          <w:p>
            <w:pPr>
              <w:jc w:val="center"/>
            </w:pPr>
            <w:r>
              <w:t>0.00</w:t>
            </w:r>
          </w:p>
        </w:tc>
        <w:tc>
          <w:tcPr>
            <w:tcW w:w="1295" w:type="dxa"/>
            <w:tcBorders>
              <w:bottom w:val="single" w:color="000000" w:sz="4" w:space="0"/>
              <w:right w:val="single" w:color="000000" w:sz="4" w:space="0"/>
            </w:tcBorders>
            <w:shd w:val="clear" w:color="auto" w:fill="auto"/>
          </w:tcPr>
          <w:p>
            <w:pPr>
              <w:jc w:val="center"/>
            </w:pPr>
            <w:r>
              <w:t>0.00</w:t>
            </w:r>
          </w:p>
        </w:tc>
        <w:tc>
          <w:tcPr>
            <w:tcW w:w="1347" w:type="dxa"/>
            <w:tcBorders>
              <w:bottom w:val="single" w:color="000000" w:sz="4" w:space="0"/>
              <w:right w:val="single" w:color="000000" w:sz="4" w:space="0"/>
            </w:tcBorders>
            <w:shd w:val="clear" w:color="auto" w:fill="auto"/>
          </w:tcPr>
          <w:p>
            <w:pPr>
              <w:jc w:val="center"/>
            </w:pPr>
            <w:r>
              <w:t>0.00</w:t>
            </w:r>
          </w:p>
        </w:tc>
        <w:tc>
          <w:tcPr>
            <w:tcW w:w="1432" w:type="dxa"/>
            <w:tcBorders>
              <w:bottom w:val="single" w:color="000000" w:sz="4" w:space="0"/>
              <w:right w:val="single" w:color="000000" w:sz="4" w:space="0"/>
            </w:tcBorders>
            <w:shd w:val="clear" w:color="auto" w:fill="auto"/>
          </w:tcPr>
          <w:p>
            <w:pPr>
              <w:jc w:val="center"/>
            </w:pPr>
            <w:r>
              <w:t>0.00</w:t>
            </w:r>
          </w:p>
        </w:tc>
      </w:tr>
      <w:tr>
        <w:tblPrEx>
          <w:tblLayout w:type="fixed"/>
          <w:tblCellMar>
            <w:top w:w="15" w:type="dxa"/>
            <w:left w:w="15" w:type="dxa"/>
            <w:bottom w:w="15" w:type="dxa"/>
            <w:right w:w="15" w:type="dxa"/>
          </w:tblCellMar>
        </w:tblPrEx>
        <w:trPr>
          <w:trHeight w:val="349" w:hRule="atLeast"/>
        </w:trPr>
        <w:tc>
          <w:tcPr>
            <w:tcW w:w="4855" w:type="dxa"/>
            <w:tcBorders>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3.其他（不含构筑物）</w:t>
            </w:r>
          </w:p>
        </w:tc>
        <w:tc>
          <w:tcPr>
            <w:tcW w:w="718"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10</w:t>
            </w:r>
          </w:p>
        </w:tc>
        <w:tc>
          <w:tcPr>
            <w:tcW w:w="1121" w:type="dxa"/>
            <w:tcBorders>
              <w:bottom w:val="single" w:color="000000" w:sz="4" w:space="0"/>
              <w:right w:val="single" w:color="000000" w:sz="4" w:space="0"/>
            </w:tcBorders>
            <w:shd w:val="clear" w:color="auto" w:fill="auto"/>
          </w:tcPr>
          <w:p>
            <w:pPr>
              <w:jc w:val="center"/>
            </w:pPr>
            <w:r>
              <w:t>0.00</w:t>
            </w:r>
          </w:p>
        </w:tc>
        <w:tc>
          <w:tcPr>
            <w:tcW w:w="1295" w:type="dxa"/>
            <w:tcBorders>
              <w:bottom w:val="single" w:color="000000" w:sz="4" w:space="0"/>
              <w:right w:val="single" w:color="000000" w:sz="4" w:space="0"/>
            </w:tcBorders>
            <w:shd w:val="clear" w:color="auto" w:fill="auto"/>
          </w:tcPr>
          <w:p>
            <w:pPr>
              <w:jc w:val="center"/>
            </w:pPr>
            <w:r>
              <w:t>0.00</w:t>
            </w:r>
          </w:p>
        </w:tc>
        <w:tc>
          <w:tcPr>
            <w:tcW w:w="1347" w:type="dxa"/>
            <w:tcBorders>
              <w:bottom w:val="single" w:color="000000" w:sz="4" w:space="0"/>
              <w:right w:val="single" w:color="000000" w:sz="4" w:space="0"/>
            </w:tcBorders>
            <w:shd w:val="clear" w:color="auto" w:fill="auto"/>
          </w:tcPr>
          <w:p>
            <w:pPr>
              <w:jc w:val="center"/>
            </w:pPr>
            <w:r>
              <w:t>0.00</w:t>
            </w:r>
          </w:p>
        </w:tc>
        <w:tc>
          <w:tcPr>
            <w:tcW w:w="1432" w:type="dxa"/>
            <w:tcBorders>
              <w:bottom w:val="single" w:color="000000" w:sz="4" w:space="0"/>
              <w:right w:val="single" w:color="000000" w:sz="4" w:space="0"/>
            </w:tcBorders>
            <w:shd w:val="clear" w:color="auto" w:fill="auto"/>
          </w:tcPr>
          <w:p>
            <w:pPr>
              <w:jc w:val="center"/>
            </w:pPr>
            <w:r>
              <w:t>0.00</w:t>
            </w:r>
          </w:p>
        </w:tc>
      </w:tr>
      <w:tr>
        <w:tblPrEx>
          <w:tblLayout w:type="fixed"/>
          <w:tblCellMar>
            <w:top w:w="15" w:type="dxa"/>
            <w:left w:w="15" w:type="dxa"/>
            <w:bottom w:w="15" w:type="dxa"/>
            <w:right w:w="15" w:type="dxa"/>
          </w:tblCellMar>
        </w:tblPrEx>
        <w:trPr>
          <w:trHeight w:val="349" w:hRule="atLeast"/>
        </w:trPr>
        <w:tc>
          <w:tcPr>
            <w:tcW w:w="4855" w:type="dxa"/>
            <w:tcBorders>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车辆（台、辆）</w:t>
            </w:r>
          </w:p>
        </w:tc>
        <w:tc>
          <w:tcPr>
            <w:tcW w:w="718"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11</w:t>
            </w:r>
          </w:p>
        </w:tc>
        <w:tc>
          <w:tcPr>
            <w:tcW w:w="1121" w:type="dxa"/>
            <w:tcBorders>
              <w:bottom w:val="single" w:color="000000" w:sz="4" w:space="0"/>
              <w:right w:val="single" w:color="000000" w:sz="4" w:space="0"/>
            </w:tcBorders>
            <w:shd w:val="clear" w:color="auto" w:fill="auto"/>
          </w:tcPr>
          <w:p>
            <w:pPr>
              <w:jc w:val="center"/>
            </w:pPr>
            <w:r>
              <w:t>6</w:t>
            </w:r>
          </w:p>
        </w:tc>
        <w:tc>
          <w:tcPr>
            <w:tcW w:w="1295" w:type="dxa"/>
            <w:tcBorders>
              <w:bottom w:val="single" w:color="000000" w:sz="4" w:space="0"/>
              <w:right w:val="single" w:color="000000" w:sz="4" w:space="0"/>
            </w:tcBorders>
            <w:shd w:val="clear" w:color="auto" w:fill="auto"/>
          </w:tcPr>
          <w:p>
            <w:pPr>
              <w:jc w:val="center"/>
            </w:pPr>
            <w:r>
              <w:t>364.41</w:t>
            </w:r>
          </w:p>
        </w:tc>
        <w:tc>
          <w:tcPr>
            <w:tcW w:w="1347" w:type="dxa"/>
            <w:tcBorders>
              <w:bottom w:val="single" w:color="000000" w:sz="4" w:space="0"/>
              <w:right w:val="single" w:color="000000" w:sz="4" w:space="0"/>
            </w:tcBorders>
            <w:shd w:val="clear" w:color="auto" w:fill="auto"/>
          </w:tcPr>
          <w:p>
            <w:pPr>
              <w:jc w:val="center"/>
            </w:pPr>
            <w:r>
              <w:t>5</w:t>
            </w:r>
          </w:p>
        </w:tc>
        <w:tc>
          <w:tcPr>
            <w:tcW w:w="1432" w:type="dxa"/>
            <w:tcBorders>
              <w:bottom w:val="single" w:color="000000" w:sz="4" w:space="0"/>
              <w:right w:val="single" w:color="000000" w:sz="4" w:space="0"/>
            </w:tcBorders>
            <w:shd w:val="clear" w:color="auto" w:fill="auto"/>
          </w:tcPr>
          <w:p>
            <w:pPr>
              <w:jc w:val="center"/>
            </w:pPr>
            <w:r>
              <w:t>341.61</w:t>
            </w:r>
          </w:p>
        </w:tc>
      </w:tr>
      <w:tr>
        <w:tblPrEx>
          <w:tblLayout w:type="fixed"/>
          <w:tblCellMar>
            <w:top w:w="15" w:type="dxa"/>
            <w:left w:w="15" w:type="dxa"/>
            <w:bottom w:w="15" w:type="dxa"/>
            <w:right w:w="15" w:type="dxa"/>
          </w:tblCellMar>
        </w:tblPrEx>
        <w:trPr>
          <w:trHeight w:val="349" w:hRule="atLeast"/>
        </w:trPr>
        <w:tc>
          <w:tcPr>
            <w:tcW w:w="4855" w:type="dxa"/>
            <w:tcBorders>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1.轿车</w:t>
            </w:r>
          </w:p>
        </w:tc>
        <w:tc>
          <w:tcPr>
            <w:tcW w:w="718"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12</w:t>
            </w:r>
          </w:p>
        </w:tc>
        <w:tc>
          <w:tcPr>
            <w:tcW w:w="1121" w:type="dxa"/>
            <w:tcBorders>
              <w:bottom w:val="single" w:color="000000" w:sz="4" w:space="0"/>
              <w:right w:val="single" w:color="000000" w:sz="4" w:space="0"/>
            </w:tcBorders>
            <w:shd w:val="clear" w:color="auto" w:fill="auto"/>
          </w:tcPr>
          <w:p>
            <w:pPr>
              <w:jc w:val="center"/>
            </w:pPr>
            <w:r>
              <w:t>0</w:t>
            </w:r>
          </w:p>
        </w:tc>
        <w:tc>
          <w:tcPr>
            <w:tcW w:w="1295" w:type="dxa"/>
            <w:tcBorders>
              <w:bottom w:val="single" w:color="000000" w:sz="4" w:space="0"/>
              <w:right w:val="single" w:color="000000" w:sz="4" w:space="0"/>
            </w:tcBorders>
            <w:shd w:val="clear" w:color="auto" w:fill="auto"/>
          </w:tcPr>
          <w:p>
            <w:pPr>
              <w:jc w:val="center"/>
            </w:pPr>
            <w:r>
              <w:t>0.00</w:t>
            </w:r>
          </w:p>
        </w:tc>
        <w:tc>
          <w:tcPr>
            <w:tcW w:w="1347" w:type="dxa"/>
            <w:tcBorders>
              <w:bottom w:val="single" w:color="000000" w:sz="4" w:space="0"/>
              <w:right w:val="single" w:color="000000" w:sz="4" w:space="0"/>
            </w:tcBorders>
            <w:shd w:val="clear" w:color="auto" w:fill="auto"/>
          </w:tcPr>
          <w:p>
            <w:pPr>
              <w:jc w:val="center"/>
            </w:pPr>
            <w:r>
              <w:t>0</w:t>
            </w:r>
          </w:p>
        </w:tc>
        <w:tc>
          <w:tcPr>
            <w:tcW w:w="1432" w:type="dxa"/>
            <w:tcBorders>
              <w:bottom w:val="single" w:color="000000" w:sz="4" w:space="0"/>
              <w:right w:val="single" w:color="000000" w:sz="4" w:space="0"/>
            </w:tcBorders>
            <w:shd w:val="clear" w:color="auto" w:fill="auto"/>
          </w:tcPr>
          <w:p>
            <w:pPr>
              <w:jc w:val="center"/>
            </w:pPr>
            <w:r>
              <w:t>0.00</w:t>
            </w:r>
          </w:p>
        </w:tc>
      </w:tr>
      <w:tr>
        <w:tblPrEx>
          <w:tblLayout w:type="fixed"/>
          <w:tblCellMar>
            <w:top w:w="15" w:type="dxa"/>
            <w:left w:w="15" w:type="dxa"/>
            <w:bottom w:w="15" w:type="dxa"/>
            <w:right w:w="15" w:type="dxa"/>
          </w:tblCellMar>
        </w:tblPrEx>
        <w:trPr>
          <w:trHeight w:val="349" w:hRule="atLeast"/>
        </w:trPr>
        <w:tc>
          <w:tcPr>
            <w:tcW w:w="4855" w:type="dxa"/>
            <w:tcBorders>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2.越野车</w:t>
            </w:r>
          </w:p>
        </w:tc>
        <w:tc>
          <w:tcPr>
            <w:tcW w:w="718"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13</w:t>
            </w:r>
          </w:p>
        </w:tc>
        <w:tc>
          <w:tcPr>
            <w:tcW w:w="1121" w:type="dxa"/>
            <w:tcBorders>
              <w:bottom w:val="single" w:color="000000" w:sz="4" w:space="0"/>
              <w:right w:val="single" w:color="000000" w:sz="4" w:space="0"/>
            </w:tcBorders>
            <w:shd w:val="clear" w:color="auto" w:fill="auto"/>
          </w:tcPr>
          <w:p>
            <w:pPr>
              <w:jc w:val="center"/>
            </w:pPr>
            <w:r>
              <w:t>5</w:t>
            </w:r>
          </w:p>
        </w:tc>
        <w:tc>
          <w:tcPr>
            <w:tcW w:w="1295" w:type="dxa"/>
            <w:tcBorders>
              <w:bottom w:val="single" w:color="000000" w:sz="4" w:space="0"/>
              <w:right w:val="single" w:color="000000" w:sz="4" w:space="0"/>
            </w:tcBorders>
            <w:shd w:val="clear" w:color="auto" w:fill="auto"/>
          </w:tcPr>
          <w:p>
            <w:pPr>
              <w:jc w:val="center"/>
            </w:pPr>
            <w:r>
              <w:t>341.61</w:t>
            </w:r>
          </w:p>
        </w:tc>
        <w:tc>
          <w:tcPr>
            <w:tcW w:w="1347" w:type="dxa"/>
            <w:tcBorders>
              <w:bottom w:val="single" w:color="000000" w:sz="4" w:space="0"/>
              <w:right w:val="single" w:color="000000" w:sz="4" w:space="0"/>
            </w:tcBorders>
            <w:shd w:val="clear" w:color="auto" w:fill="auto"/>
          </w:tcPr>
          <w:p>
            <w:pPr>
              <w:jc w:val="center"/>
            </w:pPr>
            <w:r>
              <w:t>5</w:t>
            </w:r>
          </w:p>
        </w:tc>
        <w:tc>
          <w:tcPr>
            <w:tcW w:w="1432" w:type="dxa"/>
            <w:tcBorders>
              <w:bottom w:val="single" w:color="000000" w:sz="4" w:space="0"/>
              <w:right w:val="single" w:color="000000" w:sz="4" w:space="0"/>
            </w:tcBorders>
            <w:shd w:val="clear" w:color="auto" w:fill="auto"/>
          </w:tcPr>
          <w:p>
            <w:pPr>
              <w:jc w:val="center"/>
            </w:pPr>
            <w:r>
              <w:t>341.61</w:t>
            </w:r>
          </w:p>
        </w:tc>
      </w:tr>
      <w:tr>
        <w:tblPrEx>
          <w:tblLayout w:type="fixed"/>
          <w:tblCellMar>
            <w:top w:w="15" w:type="dxa"/>
            <w:left w:w="15" w:type="dxa"/>
            <w:bottom w:w="15" w:type="dxa"/>
            <w:right w:w="15" w:type="dxa"/>
          </w:tblCellMar>
        </w:tblPrEx>
        <w:trPr>
          <w:trHeight w:val="349" w:hRule="atLeast"/>
        </w:trPr>
        <w:tc>
          <w:tcPr>
            <w:tcW w:w="4855" w:type="dxa"/>
            <w:tcBorders>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3.小型载客汽车</w:t>
            </w:r>
          </w:p>
        </w:tc>
        <w:tc>
          <w:tcPr>
            <w:tcW w:w="718"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14</w:t>
            </w:r>
          </w:p>
        </w:tc>
        <w:tc>
          <w:tcPr>
            <w:tcW w:w="1121" w:type="dxa"/>
            <w:tcBorders>
              <w:bottom w:val="single" w:color="000000" w:sz="4" w:space="0"/>
              <w:right w:val="single" w:color="000000" w:sz="4" w:space="0"/>
            </w:tcBorders>
            <w:shd w:val="clear" w:color="auto" w:fill="auto"/>
          </w:tcPr>
          <w:p>
            <w:pPr>
              <w:jc w:val="center"/>
            </w:pPr>
            <w:r>
              <w:t>1</w:t>
            </w:r>
          </w:p>
        </w:tc>
        <w:tc>
          <w:tcPr>
            <w:tcW w:w="1295" w:type="dxa"/>
            <w:tcBorders>
              <w:bottom w:val="single" w:color="000000" w:sz="4" w:space="0"/>
              <w:right w:val="single" w:color="000000" w:sz="4" w:space="0"/>
            </w:tcBorders>
            <w:shd w:val="clear" w:color="auto" w:fill="auto"/>
          </w:tcPr>
          <w:p>
            <w:pPr>
              <w:jc w:val="center"/>
            </w:pPr>
            <w:r>
              <w:t>22.80</w:t>
            </w:r>
          </w:p>
        </w:tc>
        <w:tc>
          <w:tcPr>
            <w:tcW w:w="1347" w:type="dxa"/>
            <w:tcBorders>
              <w:bottom w:val="single" w:color="000000" w:sz="4" w:space="0"/>
              <w:right w:val="single" w:color="000000" w:sz="4" w:space="0"/>
            </w:tcBorders>
            <w:shd w:val="clear" w:color="auto" w:fill="auto"/>
          </w:tcPr>
          <w:p>
            <w:pPr>
              <w:jc w:val="center"/>
            </w:pPr>
            <w:r>
              <w:t>0</w:t>
            </w:r>
          </w:p>
        </w:tc>
        <w:tc>
          <w:tcPr>
            <w:tcW w:w="1432" w:type="dxa"/>
            <w:tcBorders>
              <w:bottom w:val="single" w:color="000000" w:sz="4" w:space="0"/>
              <w:right w:val="single" w:color="000000" w:sz="4" w:space="0"/>
            </w:tcBorders>
            <w:shd w:val="clear" w:color="auto" w:fill="auto"/>
          </w:tcPr>
          <w:p>
            <w:pPr>
              <w:jc w:val="center"/>
            </w:pPr>
            <w:r>
              <w:t>0.00</w:t>
            </w:r>
          </w:p>
        </w:tc>
      </w:tr>
      <w:tr>
        <w:tblPrEx>
          <w:tblLayout w:type="fixed"/>
          <w:tblCellMar>
            <w:top w:w="15" w:type="dxa"/>
            <w:left w:w="15" w:type="dxa"/>
            <w:bottom w:w="15" w:type="dxa"/>
            <w:right w:w="15" w:type="dxa"/>
          </w:tblCellMar>
        </w:tblPrEx>
        <w:trPr>
          <w:trHeight w:val="349" w:hRule="atLeast"/>
        </w:trPr>
        <w:tc>
          <w:tcPr>
            <w:tcW w:w="4855" w:type="dxa"/>
            <w:tcBorders>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4.大中型载客汽车</w:t>
            </w:r>
          </w:p>
        </w:tc>
        <w:tc>
          <w:tcPr>
            <w:tcW w:w="718"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15</w:t>
            </w:r>
          </w:p>
        </w:tc>
        <w:tc>
          <w:tcPr>
            <w:tcW w:w="1121" w:type="dxa"/>
            <w:tcBorders>
              <w:bottom w:val="single" w:color="000000" w:sz="4" w:space="0"/>
              <w:right w:val="single" w:color="000000" w:sz="4" w:space="0"/>
            </w:tcBorders>
            <w:shd w:val="clear" w:color="auto" w:fill="auto"/>
          </w:tcPr>
          <w:p>
            <w:pPr>
              <w:jc w:val="center"/>
            </w:pPr>
            <w:r>
              <w:t>0</w:t>
            </w:r>
          </w:p>
        </w:tc>
        <w:tc>
          <w:tcPr>
            <w:tcW w:w="1295" w:type="dxa"/>
            <w:tcBorders>
              <w:bottom w:val="single" w:color="000000" w:sz="4" w:space="0"/>
              <w:right w:val="single" w:color="000000" w:sz="4" w:space="0"/>
            </w:tcBorders>
            <w:shd w:val="clear" w:color="auto" w:fill="auto"/>
          </w:tcPr>
          <w:p>
            <w:pPr>
              <w:jc w:val="center"/>
            </w:pPr>
            <w:r>
              <w:t>0.00</w:t>
            </w:r>
          </w:p>
        </w:tc>
        <w:tc>
          <w:tcPr>
            <w:tcW w:w="1347" w:type="dxa"/>
            <w:tcBorders>
              <w:bottom w:val="single" w:color="000000" w:sz="4" w:space="0"/>
              <w:right w:val="single" w:color="000000" w:sz="4" w:space="0"/>
            </w:tcBorders>
            <w:shd w:val="clear" w:color="auto" w:fill="auto"/>
          </w:tcPr>
          <w:p>
            <w:pPr>
              <w:jc w:val="center"/>
            </w:pPr>
            <w:r>
              <w:t>0</w:t>
            </w:r>
          </w:p>
        </w:tc>
        <w:tc>
          <w:tcPr>
            <w:tcW w:w="1432" w:type="dxa"/>
            <w:tcBorders>
              <w:bottom w:val="single" w:color="000000" w:sz="4" w:space="0"/>
              <w:right w:val="single" w:color="000000" w:sz="4" w:space="0"/>
            </w:tcBorders>
            <w:shd w:val="clear" w:color="auto" w:fill="auto"/>
          </w:tcPr>
          <w:p>
            <w:pPr>
              <w:jc w:val="center"/>
            </w:pPr>
            <w:r>
              <w:t>0.00</w:t>
            </w:r>
          </w:p>
        </w:tc>
      </w:tr>
      <w:tr>
        <w:tblPrEx>
          <w:tblLayout w:type="fixed"/>
          <w:tblCellMar>
            <w:top w:w="15" w:type="dxa"/>
            <w:left w:w="15" w:type="dxa"/>
            <w:bottom w:w="15" w:type="dxa"/>
            <w:right w:w="15" w:type="dxa"/>
          </w:tblCellMar>
        </w:tblPrEx>
        <w:trPr>
          <w:trHeight w:val="349" w:hRule="atLeast"/>
        </w:trPr>
        <w:tc>
          <w:tcPr>
            <w:tcW w:w="4855" w:type="dxa"/>
            <w:tcBorders>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5.其他车型</w:t>
            </w:r>
          </w:p>
        </w:tc>
        <w:tc>
          <w:tcPr>
            <w:tcW w:w="718"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16</w:t>
            </w:r>
          </w:p>
        </w:tc>
        <w:tc>
          <w:tcPr>
            <w:tcW w:w="1121" w:type="dxa"/>
            <w:tcBorders>
              <w:bottom w:val="single" w:color="000000" w:sz="4" w:space="0"/>
              <w:right w:val="single" w:color="000000" w:sz="4" w:space="0"/>
            </w:tcBorders>
            <w:shd w:val="clear" w:color="auto" w:fill="auto"/>
          </w:tcPr>
          <w:p>
            <w:pPr>
              <w:jc w:val="center"/>
            </w:pPr>
            <w:r>
              <w:t>0</w:t>
            </w:r>
          </w:p>
        </w:tc>
        <w:tc>
          <w:tcPr>
            <w:tcW w:w="1295" w:type="dxa"/>
            <w:tcBorders>
              <w:bottom w:val="single" w:color="000000" w:sz="4" w:space="0"/>
              <w:right w:val="single" w:color="000000" w:sz="4" w:space="0"/>
            </w:tcBorders>
            <w:shd w:val="clear" w:color="auto" w:fill="auto"/>
          </w:tcPr>
          <w:p>
            <w:pPr>
              <w:jc w:val="center"/>
            </w:pPr>
            <w:r>
              <w:t>0.00</w:t>
            </w:r>
          </w:p>
        </w:tc>
        <w:tc>
          <w:tcPr>
            <w:tcW w:w="1347" w:type="dxa"/>
            <w:tcBorders>
              <w:bottom w:val="single" w:color="000000" w:sz="4" w:space="0"/>
              <w:right w:val="single" w:color="000000" w:sz="4" w:space="0"/>
            </w:tcBorders>
            <w:shd w:val="clear" w:color="auto" w:fill="auto"/>
          </w:tcPr>
          <w:p>
            <w:pPr>
              <w:jc w:val="center"/>
            </w:pPr>
            <w:r>
              <w:t>0</w:t>
            </w:r>
          </w:p>
        </w:tc>
        <w:tc>
          <w:tcPr>
            <w:tcW w:w="1432" w:type="dxa"/>
            <w:tcBorders>
              <w:bottom w:val="single" w:color="000000" w:sz="4" w:space="0"/>
              <w:right w:val="single" w:color="000000" w:sz="4" w:space="0"/>
            </w:tcBorders>
            <w:shd w:val="clear" w:color="auto" w:fill="auto"/>
          </w:tcPr>
          <w:p>
            <w:pPr>
              <w:jc w:val="center"/>
            </w:pPr>
            <w:r>
              <w:t>0.00</w:t>
            </w:r>
          </w:p>
        </w:tc>
      </w:tr>
      <w:tr>
        <w:tblPrEx>
          <w:tblLayout w:type="fixed"/>
          <w:tblCellMar>
            <w:top w:w="15" w:type="dxa"/>
            <w:left w:w="15" w:type="dxa"/>
            <w:bottom w:w="15" w:type="dxa"/>
            <w:right w:w="15" w:type="dxa"/>
          </w:tblCellMar>
        </w:tblPrEx>
        <w:trPr>
          <w:trHeight w:val="349" w:hRule="atLeast"/>
        </w:trPr>
        <w:tc>
          <w:tcPr>
            <w:tcW w:w="4855" w:type="dxa"/>
            <w:tcBorders>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减：固定资产累计折旧</w:t>
            </w:r>
          </w:p>
        </w:tc>
        <w:tc>
          <w:tcPr>
            <w:tcW w:w="718"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17</w:t>
            </w:r>
          </w:p>
        </w:tc>
        <w:tc>
          <w:tcPr>
            <w:tcW w:w="1121" w:type="dxa"/>
            <w:tcBorders>
              <w:bottom w:val="single" w:color="000000" w:sz="4" w:space="0"/>
              <w:right w:val="single" w:color="000000" w:sz="4" w:space="0"/>
            </w:tcBorders>
            <w:shd w:val="clear" w:color="auto" w:fill="auto"/>
          </w:tcPr>
          <w:p>
            <w:pPr>
              <w:jc w:val="center"/>
            </w:pPr>
            <w:r>
              <w:rPr>
                <w:rFonts w:hint="eastAsia"/>
              </w:rPr>
              <w:t>—</w:t>
            </w:r>
          </w:p>
        </w:tc>
        <w:tc>
          <w:tcPr>
            <w:tcW w:w="1295" w:type="dxa"/>
            <w:tcBorders>
              <w:bottom w:val="single" w:color="000000" w:sz="4" w:space="0"/>
              <w:right w:val="single" w:color="000000" w:sz="4" w:space="0"/>
            </w:tcBorders>
            <w:shd w:val="clear" w:color="auto" w:fill="auto"/>
          </w:tcPr>
          <w:p>
            <w:pPr>
              <w:jc w:val="center"/>
            </w:pPr>
            <w:r>
              <w:t>397.15</w:t>
            </w:r>
          </w:p>
        </w:tc>
        <w:tc>
          <w:tcPr>
            <w:tcW w:w="1347" w:type="dxa"/>
            <w:tcBorders>
              <w:bottom w:val="single" w:color="000000" w:sz="4" w:space="0"/>
              <w:right w:val="single" w:color="000000" w:sz="4" w:space="0"/>
            </w:tcBorders>
            <w:shd w:val="clear" w:color="auto" w:fill="auto"/>
          </w:tcPr>
          <w:p>
            <w:pPr>
              <w:jc w:val="center"/>
            </w:pPr>
            <w:r>
              <w:t>—</w:t>
            </w:r>
          </w:p>
        </w:tc>
        <w:tc>
          <w:tcPr>
            <w:tcW w:w="1432" w:type="dxa"/>
            <w:tcBorders>
              <w:bottom w:val="single" w:color="000000" w:sz="4" w:space="0"/>
              <w:right w:val="single" w:color="000000" w:sz="4" w:space="0"/>
            </w:tcBorders>
            <w:shd w:val="clear" w:color="auto" w:fill="auto"/>
          </w:tcPr>
          <w:p>
            <w:pPr>
              <w:jc w:val="center"/>
            </w:pPr>
            <w:r>
              <w:t>478.93</w:t>
            </w:r>
          </w:p>
        </w:tc>
      </w:tr>
      <w:tr>
        <w:tblPrEx>
          <w:tblLayout w:type="fixed"/>
          <w:tblCellMar>
            <w:top w:w="15" w:type="dxa"/>
            <w:left w:w="15" w:type="dxa"/>
            <w:bottom w:w="15" w:type="dxa"/>
            <w:right w:w="15" w:type="dxa"/>
          </w:tblCellMar>
        </w:tblPrEx>
        <w:trPr>
          <w:trHeight w:val="349" w:hRule="atLeast"/>
        </w:trPr>
        <w:tc>
          <w:tcPr>
            <w:tcW w:w="4855" w:type="dxa"/>
            <w:tcBorders>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固定资产净值</w:t>
            </w:r>
          </w:p>
        </w:tc>
        <w:tc>
          <w:tcPr>
            <w:tcW w:w="718"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18</w:t>
            </w:r>
          </w:p>
        </w:tc>
        <w:tc>
          <w:tcPr>
            <w:tcW w:w="1121" w:type="dxa"/>
            <w:tcBorders>
              <w:bottom w:val="single" w:color="000000" w:sz="4" w:space="0"/>
              <w:right w:val="single" w:color="000000" w:sz="4" w:space="0"/>
            </w:tcBorders>
            <w:shd w:val="clear" w:color="auto" w:fill="auto"/>
          </w:tcPr>
          <w:p>
            <w:pPr>
              <w:jc w:val="center"/>
            </w:pPr>
            <w:r>
              <w:rPr>
                <w:rFonts w:hint="eastAsia"/>
              </w:rPr>
              <w:t>—</w:t>
            </w:r>
          </w:p>
        </w:tc>
        <w:tc>
          <w:tcPr>
            <w:tcW w:w="1295" w:type="dxa"/>
            <w:tcBorders>
              <w:bottom w:val="single" w:color="000000" w:sz="4" w:space="0"/>
              <w:right w:val="single" w:color="000000" w:sz="4" w:space="0"/>
            </w:tcBorders>
            <w:shd w:val="clear" w:color="auto" w:fill="auto"/>
          </w:tcPr>
          <w:p>
            <w:pPr>
              <w:jc w:val="center"/>
            </w:pPr>
            <w:r>
              <w:t>425.62</w:t>
            </w:r>
          </w:p>
        </w:tc>
        <w:tc>
          <w:tcPr>
            <w:tcW w:w="1347" w:type="dxa"/>
            <w:tcBorders>
              <w:bottom w:val="single" w:color="000000" w:sz="4" w:space="0"/>
              <w:right w:val="single" w:color="000000" w:sz="4" w:space="0"/>
            </w:tcBorders>
            <w:shd w:val="clear" w:color="auto" w:fill="auto"/>
          </w:tcPr>
          <w:p>
            <w:pPr>
              <w:jc w:val="center"/>
            </w:pPr>
            <w:r>
              <w:t>—</w:t>
            </w:r>
          </w:p>
        </w:tc>
        <w:tc>
          <w:tcPr>
            <w:tcW w:w="1432" w:type="dxa"/>
            <w:tcBorders>
              <w:bottom w:val="single" w:color="000000" w:sz="4" w:space="0"/>
              <w:right w:val="single" w:color="000000" w:sz="4" w:space="0"/>
            </w:tcBorders>
            <w:shd w:val="clear" w:color="auto" w:fill="auto"/>
          </w:tcPr>
          <w:p>
            <w:pPr>
              <w:jc w:val="center"/>
            </w:pPr>
            <w:r>
              <w:t>436.27</w:t>
            </w:r>
          </w:p>
        </w:tc>
      </w:tr>
      <w:tr>
        <w:tblPrEx>
          <w:tblLayout w:type="fixed"/>
          <w:tblCellMar>
            <w:top w:w="15" w:type="dxa"/>
            <w:left w:w="15" w:type="dxa"/>
            <w:bottom w:w="15" w:type="dxa"/>
            <w:right w:w="15" w:type="dxa"/>
          </w:tblCellMar>
        </w:tblPrEx>
        <w:trPr>
          <w:trHeight w:val="349" w:hRule="atLeast"/>
        </w:trPr>
        <w:tc>
          <w:tcPr>
            <w:tcW w:w="4855" w:type="dxa"/>
            <w:tcBorders>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（四）在建工程</w:t>
            </w:r>
          </w:p>
        </w:tc>
        <w:tc>
          <w:tcPr>
            <w:tcW w:w="718"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19</w:t>
            </w:r>
          </w:p>
        </w:tc>
        <w:tc>
          <w:tcPr>
            <w:tcW w:w="1121" w:type="dxa"/>
            <w:tcBorders>
              <w:bottom w:val="single" w:color="000000" w:sz="4" w:space="0"/>
              <w:right w:val="single" w:color="000000" w:sz="4" w:space="0"/>
            </w:tcBorders>
            <w:shd w:val="clear" w:color="auto" w:fill="auto"/>
          </w:tcPr>
          <w:p>
            <w:pPr>
              <w:jc w:val="center"/>
            </w:pPr>
            <w:r>
              <w:rPr>
                <w:rFonts w:hint="eastAsia"/>
              </w:rPr>
              <w:t>—</w:t>
            </w:r>
          </w:p>
        </w:tc>
        <w:tc>
          <w:tcPr>
            <w:tcW w:w="1295" w:type="dxa"/>
            <w:tcBorders>
              <w:bottom w:val="single" w:color="000000" w:sz="4" w:space="0"/>
              <w:right w:val="single" w:color="000000" w:sz="4" w:space="0"/>
            </w:tcBorders>
            <w:shd w:val="clear" w:color="auto" w:fill="auto"/>
          </w:tcPr>
          <w:p>
            <w:pPr>
              <w:jc w:val="center"/>
            </w:pPr>
            <w:r>
              <w:t>0.00</w:t>
            </w:r>
          </w:p>
        </w:tc>
        <w:tc>
          <w:tcPr>
            <w:tcW w:w="1347" w:type="dxa"/>
            <w:tcBorders>
              <w:bottom w:val="single" w:color="000000" w:sz="4" w:space="0"/>
              <w:right w:val="single" w:color="000000" w:sz="4" w:space="0"/>
            </w:tcBorders>
            <w:shd w:val="clear" w:color="auto" w:fill="auto"/>
          </w:tcPr>
          <w:p>
            <w:pPr>
              <w:jc w:val="center"/>
            </w:pPr>
            <w:r>
              <w:t>—</w:t>
            </w:r>
          </w:p>
        </w:tc>
        <w:tc>
          <w:tcPr>
            <w:tcW w:w="1432" w:type="dxa"/>
            <w:tcBorders>
              <w:bottom w:val="single" w:color="000000" w:sz="4" w:space="0"/>
              <w:right w:val="single" w:color="000000" w:sz="4" w:space="0"/>
            </w:tcBorders>
            <w:shd w:val="clear" w:color="auto" w:fill="auto"/>
          </w:tcPr>
          <w:p>
            <w:pPr>
              <w:jc w:val="center"/>
            </w:pPr>
            <w:r>
              <w:t>0.00</w:t>
            </w:r>
          </w:p>
        </w:tc>
      </w:tr>
      <w:tr>
        <w:tblPrEx>
          <w:tblLayout w:type="fixed"/>
          <w:tblCellMar>
            <w:top w:w="15" w:type="dxa"/>
            <w:left w:w="15" w:type="dxa"/>
            <w:bottom w:w="15" w:type="dxa"/>
            <w:right w:w="15" w:type="dxa"/>
          </w:tblCellMar>
        </w:tblPrEx>
        <w:trPr>
          <w:trHeight w:val="349" w:hRule="atLeast"/>
        </w:trPr>
        <w:tc>
          <w:tcPr>
            <w:tcW w:w="4855" w:type="dxa"/>
            <w:tcBorders>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二、负债信息</w:t>
            </w:r>
          </w:p>
        </w:tc>
        <w:tc>
          <w:tcPr>
            <w:tcW w:w="718"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20</w:t>
            </w:r>
          </w:p>
        </w:tc>
        <w:tc>
          <w:tcPr>
            <w:tcW w:w="1121" w:type="dxa"/>
            <w:tcBorders>
              <w:bottom w:val="single" w:color="000000" w:sz="4" w:space="0"/>
              <w:right w:val="single" w:color="000000" w:sz="4" w:space="0"/>
            </w:tcBorders>
            <w:shd w:val="clear" w:color="auto" w:fill="auto"/>
          </w:tcPr>
          <w:p>
            <w:pPr>
              <w:jc w:val="center"/>
            </w:pPr>
            <w:r>
              <w:rPr>
                <w:rFonts w:hint="eastAsia"/>
              </w:rPr>
              <w:t>—</w:t>
            </w:r>
          </w:p>
        </w:tc>
        <w:tc>
          <w:tcPr>
            <w:tcW w:w="1295" w:type="dxa"/>
            <w:tcBorders>
              <w:bottom w:val="single" w:color="000000" w:sz="4" w:space="0"/>
              <w:right w:val="single" w:color="000000" w:sz="4" w:space="0"/>
            </w:tcBorders>
            <w:shd w:val="clear" w:color="auto" w:fill="auto"/>
          </w:tcPr>
          <w:p>
            <w:pPr>
              <w:jc w:val="center"/>
            </w:pPr>
            <w:r>
              <w:t>—</w:t>
            </w:r>
          </w:p>
        </w:tc>
        <w:tc>
          <w:tcPr>
            <w:tcW w:w="1347" w:type="dxa"/>
            <w:tcBorders>
              <w:bottom w:val="single" w:color="000000" w:sz="4" w:space="0"/>
              <w:right w:val="single" w:color="000000" w:sz="4" w:space="0"/>
            </w:tcBorders>
            <w:shd w:val="clear" w:color="auto" w:fill="auto"/>
          </w:tcPr>
          <w:p>
            <w:pPr>
              <w:jc w:val="center"/>
            </w:pPr>
            <w:r>
              <w:t>—</w:t>
            </w:r>
          </w:p>
        </w:tc>
        <w:tc>
          <w:tcPr>
            <w:tcW w:w="1432" w:type="dxa"/>
            <w:tcBorders>
              <w:bottom w:val="single" w:color="000000" w:sz="4" w:space="0"/>
              <w:right w:val="single" w:color="000000" w:sz="4" w:space="0"/>
            </w:tcBorders>
            <w:shd w:val="clear" w:color="auto" w:fill="auto"/>
          </w:tcPr>
          <w:p>
            <w:pPr>
              <w:jc w:val="center"/>
            </w:pPr>
            <w:r>
              <w:t>—</w:t>
            </w:r>
          </w:p>
        </w:tc>
      </w:tr>
      <w:tr>
        <w:tblPrEx>
          <w:tblLayout w:type="fixed"/>
          <w:tblCellMar>
            <w:top w:w="15" w:type="dxa"/>
            <w:left w:w="15" w:type="dxa"/>
            <w:bottom w:w="15" w:type="dxa"/>
            <w:right w:w="15" w:type="dxa"/>
          </w:tblCellMar>
        </w:tblPrEx>
        <w:trPr>
          <w:trHeight w:val="349" w:hRule="atLeast"/>
        </w:trPr>
        <w:tc>
          <w:tcPr>
            <w:tcW w:w="4855" w:type="dxa"/>
            <w:tcBorders>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（一）借款</w:t>
            </w:r>
          </w:p>
        </w:tc>
        <w:tc>
          <w:tcPr>
            <w:tcW w:w="718"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21</w:t>
            </w:r>
          </w:p>
        </w:tc>
        <w:tc>
          <w:tcPr>
            <w:tcW w:w="1121" w:type="dxa"/>
            <w:tcBorders>
              <w:bottom w:val="single" w:color="000000" w:sz="4" w:space="0"/>
              <w:right w:val="single" w:color="000000" w:sz="4" w:space="0"/>
            </w:tcBorders>
            <w:shd w:val="clear" w:color="auto" w:fill="auto"/>
          </w:tcPr>
          <w:p>
            <w:pPr>
              <w:jc w:val="center"/>
            </w:pPr>
            <w:r>
              <w:rPr>
                <w:rFonts w:hint="eastAsia"/>
              </w:rPr>
              <w:t>—</w:t>
            </w:r>
          </w:p>
        </w:tc>
        <w:tc>
          <w:tcPr>
            <w:tcW w:w="1295" w:type="dxa"/>
            <w:tcBorders>
              <w:bottom w:val="single" w:color="000000" w:sz="4" w:space="0"/>
              <w:right w:val="single" w:color="000000" w:sz="4" w:space="0"/>
            </w:tcBorders>
            <w:shd w:val="clear" w:color="auto" w:fill="auto"/>
          </w:tcPr>
          <w:p>
            <w:pPr>
              <w:jc w:val="center"/>
            </w:pPr>
            <w:r>
              <w:t>0.00</w:t>
            </w:r>
          </w:p>
        </w:tc>
        <w:tc>
          <w:tcPr>
            <w:tcW w:w="1347" w:type="dxa"/>
            <w:tcBorders>
              <w:bottom w:val="single" w:color="000000" w:sz="4" w:space="0"/>
              <w:right w:val="single" w:color="000000" w:sz="4" w:space="0"/>
            </w:tcBorders>
            <w:shd w:val="clear" w:color="auto" w:fill="auto"/>
          </w:tcPr>
          <w:p>
            <w:pPr>
              <w:jc w:val="center"/>
            </w:pPr>
            <w:r>
              <w:t>—</w:t>
            </w:r>
          </w:p>
        </w:tc>
        <w:tc>
          <w:tcPr>
            <w:tcW w:w="1432" w:type="dxa"/>
            <w:tcBorders>
              <w:bottom w:val="single" w:color="000000" w:sz="4" w:space="0"/>
              <w:right w:val="single" w:color="000000" w:sz="4" w:space="0"/>
            </w:tcBorders>
            <w:shd w:val="clear" w:color="auto" w:fill="auto"/>
          </w:tcPr>
          <w:p>
            <w:pPr>
              <w:jc w:val="center"/>
            </w:pPr>
            <w:r>
              <w:t>0.00</w:t>
            </w:r>
          </w:p>
        </w:tc>
      </w:tr>
      <w:tr>
        <w:tblPrEx>
          <w:tblLayout w:type="fixed"/>
          <w:tblCellMar>
            <w:top w:w="15" w:type="dxa"/>
            <w:left w:w="15" w:type="dxa"/>
            <w:bottom w:w="15" w:type="dxa"/>
            <w:right w:w="15" w:type="dxa"/>
          </w:tblCellMar>
        </w:tblPrEx>
        <w:trPr>
          <w:trHeight w:val="349" w:hRule="atLeast"/>
        </w:trPr>
        <w:tc>
          <w:tcPr>
            <w:tcW w:w="4855" w:type="dxa"/>
            <w:tcBorders>
              <w:left w:val="single" w:color="000000" w:sz="4" w:space="0"/>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（二）应缴财政款</w:t>
            </w:r>
          </w:p>
        </w:tc>
        <w:tc>
          <w:tcPr>
            <w:tcW w:w="718" w:type="dxa"/>
            <w:tcBorders>
              <w:bottom w:val="single" w:color="000000" w:sz="4"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22</w:t>
            </w:r>
          </w:p>
        </w:tc>
        <w:tc>
          <w:tcPr>
            <w:tcW w:w="1121" w:type="dxa"/>
            <w:tcBorders>
              <w:bottom w:val="single" w:color="000000" w:sz="4" w:space="0"/>
              <w:right w:val="single" w:color="000000" w:sz="4" w:space="0"/>
            </w:tcBorders>
            <w:shd w:val="clear" w:color="auto" w:fill="auto"/>
          </w:tcPr>
          <w:p>
            <w:pPr>
              <w:jc w:val="center"/>
            </w:pPr>
            <w:r>
              <w:rPr>
                <w:rFonts w:hint="eastAsia"/>
              </w:rPr>
              <w:t>—</w:t>
            </w:r>
          </w:p>
        </w:tc>
        <w:tc>
          <w:tcPr>
            <w:tcW w:w="1295" w:type="dxa"/>
            <w:tcBorders>
              <w:bottom w:val="single" w:color="000000" w:sz="4" w:space="0"/>
              <w:right w:val="single" w:color="000000" w:sz="4" w:space="0"/>
            </w:tcBorders>
            <w:shd w:val="clear" w:color="auto" w:fill="auto"/>
          </w:tcPr>
          <w:p>
            <w:pPr>
              <w:jc w:val="center"/>
            </w:pPr>
            <w:r>
              <w:t>0.00</w:t>
            </w:r>
          </w:p>
        </w:tc>
        <w:tc>
          <w:tcPr>
            <w:tcW w:w="1347" w:type="dxa"/>
            <w:tcBorders>
              <w:bottom w:val="single" w:color="000000" w:sz="4" w:space="0"/>
              <w:right w:val="single" w:color="000000" w:sz="4" w:space="0"/>
            </w:tcBorders>
            <w:shd w:val="clear" w:color="auto" w:fill="auto"/>
          </w:tcPr>
          <w:p>
            <w:pPr>
              <w:jc w:val="center"/>
            </w:pPr>
            <w:r>
              <w:t>—</w:t>
            </w:r>
          </w:p>
        </w:tc>
        <w:tc>
          <w:tcPr>
            <w:tcW w:w="1432" w:type="dxa"/>
            <w:tcBorders>
              <w:bottom w:val="single" w:color="000000" w:sz="4" w:space="0"/>
              <w:right w:val="single" w:color="000000" w:sz="4" w:space="0"/>
            </w:tcBorders>
            <w:shd w:val="clear" w:color="auto" w:fill="auto"/>
          </w:tcPr>
          <w:p>
            <w:pPr>
              <w:jc w:val="center"/>
            </w:pPr>
            <w:r>
              <w:t>0.07</w:t>
            </w:r>
          </w:p>
        </w:tc>
      </w:tr>
      <w:tr>
        <w:tblPrEx>
          <w:tblLayout w:type="fixed"/>
          <w:tblCellMar>
            <w:top w:w="15" w:type="dxa"/>
            <w:left w:w="15" w:type="dxa"/>
            <w:bottom w:w="15" w:type="dxa"/>
            <w:right w:w="15" w:type="dxa"/>
          </w:tblCellMar>
        </w:tblPrEx>
        <w:trPr>
          <w:trHeight w:val="379" w:hRule="atLeast"/>
        </w:trPr>
        <w:tc>
          <w:tcPr>
            <w:tcW w:w="4855" w:type="dxa"/>
            <w:tcBorders>
              <w:left w:val="single" w:color="000000" w:sz="4" w:space="0"/>
              <w:bottom w:val="single" w:color="000000" w:sz="12"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（三）应付职工薪酬</w:t>
            </w:r>
          </w:p>
        </w:tc>
        <w:tc>
          <w:tcPr>
            <w:tcW w:w="718" w:type="dxa"/>
            <w:tcBorders>
              <w:bottom w:val="single" w:color="000000" w:sz="12" w:space="0"/>
              <w:right w:val="single" w:color="000000" w:sz="4" w:space="0"/>
            </w:tcBorders>
            <w:shd w:val="clear" w:color="FFFFFF" w:fill="C0C0C0"/>
            <w:vAlign w:val="center"/>
          </w:tcPr>
          <w:p>
            <w:pPr>
              <w:widowControl/>
              <w:jc w:val="center"/>
              <w:textAlignment w:val="center"/>
              <w:rPr>
                <w:rFonts w:ascii="宋体" w:hAnsi="宋体" w:eastAsia="宋体" w:cs="宋体"/>
                <w:color w:val="000000"/>
                <w:sz w:val="22"/>
                <w:szCs w:val="22"/>
              </w:rPr>
            </w:pPr>
            <w:r>
              <w:rPr>
                <w:rFonts w:hint="eastAsia" w:ascii="宋体" w:hAnsi="宋体" w:eastAsia="宋体" w:cs="宋体"/>
                <w:color w:val="000000"/>
                <w:kern w:val="0"/>
                <w:sz w:val="22"/>
                <w:szCs w:val="22"/>
              </w:rPr>
              <w:t>23</w:t>
            </w:r>
          </w:p>
        </w:tc>
        <w:tc>
          <w:tcPr>
            <w:tcW w:w="1121" w:type="dxa"/>
            <w:tcBorders>
              <w:bottom w:val="single" w:color="000000" w:sz="12" w:space="0"/>
              <w:right w:val="single" w:color="000000" w:sz="4" w:space="0"/>
            </w:tcBorders>
            <w:shd w:val="clear" w:color="auto" w:fill="auto"/>
          </w:tcPr>
          <w:p>
            <w:pPr>
              <w:jc w:val="center"/>
            </w:pPr>
            <w:r>
              <w:rPr>
                <w:rFonts w:hint="eastAsia"/>
              </w:rPr>
              <w:t>—</w:t>
            </w:r>
          </w:p>
        </w:tc>
        <w:tc>
          <w:tcPr>
            <w:tcW w:w="1295" w:type="dxa"/>
            <w:tcBorders>
              <w:bottom w:val="single" w:color="000000" w:sz="12" w:space="0"/>
              <w:right w:val="single" w:color="000000" w:sz="4" w:space="0"/>
            </w:tcBorders>
            <w:shd w:val="clear" w:color="auto" w:fill="auto"/>
          </w:tcPr>
          <w:p>
            <w:pPr>
              <w:jc w:val="center"/>
            </w:pPr>
            <w:r>
              <w:t>1.68</w:t>
            </w:r>
          </w:p>
        </w:tc>
        <w:tc>
          <w:tcPr>
            <w:tcW w:w="1347" w:type="dxa"/>
            <w:tcBorders>
              <w:bottom w:val="single" w:color="000000" w:sz="12" w:space="0"/>
              <w:right w:val="single" w:color="000000" w:sz="4" w:space="0"/>
            </w:tcBorders>
            <w:shd w:val="clear" w:color="auto" w:fill="auto"/>
          </w:tcPr>
          <w:p>
            <w:pPr>
              <w:jc w:val="center"/>
            </w:pPr>
            <w:r>
              <w:t>—</w:t>
            </w:r>
          </w:p>
        </w:tc>
        <w:tc>
          <w:tcPr>
            <w:tcW w:w="1432" w:type="dxa"/>
            <w:tcBorders>
              <w:bottom w:val="single" w:color="000000" w:sz="12" w:space="0"/>
              <w:right w:val="single" w:color="000000" w:sz="4" w:space="0"/>
            </w:tcBorders>
            <w:shd w:val="clear" w:color="auto" w:fill="auto"/>
          </w:tcPr>
          <w:p>
            <w:pPr>
              <w:jc w:val="center"/>
            </w:pPr>
            <w:r>
              <w:t>0.87</w:t>
            </w:r>
          </w:p>
        </w:tc>
      </w:tr>
    </w:tbl>
    <w:p>
      <w:pPr>
        <w:snapToGrid w:val="0"/>
        <w:spacing w:line="520" w:lineRule="exact"/>
        <w:ind w:firstLine="643" w:firstLineChars="200"/>
        <w:rPr>
          <w:rFonts w:ascii="楷体" w:hAnsi="楷体" w:eastAsia="楷体" w:cs="楷体_GB2312"/>
          <w:b/>
          <w:sz w:val="32"/>
          <w:szCs w:val="32"/>
        </w:rPr>
      </w:pPr>
      <w:r>
        <w:rPr>
          <w:rFonts w:hint="eastAsia" w:ascii="楷体" w:hAnsi="楷体" w:eastAsia="楷体" w:cs="楷体_GB2312"/>
          <w:b/>
          <w:sz w:val="32"/>
          <w:szCs w:val="32"/>
        </w:rPr>
        <w:t>（五）绩效目标完成情况。</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1.项目绩效目标完成情况。项目支出年初预算8958800.00元，中期调减预算6538154.29元，调整后预算为2420645.71元。截止2021年12月实际支出2420645.71元，执行率为100%。</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2.本单位整体支出绩效目</w:t>
      </w:r>
      <w:bookmarkStart w:id="0" w:name="_GoBack"/>
      <w:bookmarkEnd w:id="0"/>
      <w:r>
        <w:rPr>
          <w:rFonts w:hint="eastAsia" w:ascii="仿宋" w:hAnsi="仿宋" w:eastAsia="仿宋" w:cs="仿宋"/>
          <w:sz w:val="32"/>
          <w:szCs w:val="32"/>
        </w:rPr>
        <w:t>标实现情况。整体看，2021年本单位能够较好完成整体绩效目标。</w:t>
      </w:r>
    </w:p>
    <w:p>
      <w:pPr>
        <w:snapToGrid w:val="0"/>
        <w:spacing w:line="520" w:lineRule="exact"/>
        <w:ind w:firstLine="643" w:firstLineChars="200"/>
        <w:rPr>
          <w:rFonts w:ascii="楷体" w:hAnsi="楷体" w:eastAsia="楷体" w:cs="楷体_GB2312"/>
          <w:b/>
          <w:sz w:val="32"/>
          <w:szCs w:val="32"/>
        </w:rPr>
      </w:pPr>
      <w:r>
        <w:rPr>
          <w:rFonts w:hint="eastAsia" w:ascii="楷体" w:hAnsi="楷体" w:eastAsia="楷体" w:cs="楷体_GB2312"/>
          <w:b/>
          <w:sz w:val="32"/>
          <w:szCs w:val="32"/>
        </w:rPr>
        <w:t>（六）当年预算执行及绩效管理中存在问题、原因及改进措施。</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存在问题：部门整体支出预算执行率未达到序时进度，有待进一步加强。</w:t>
      </w:r>
    </w:p>
    <w:p>
      <w:pPr>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改进措施：下一步工作中，一是将加强预算编制管理，提高项目绩效目标编制水平，提高预算编制的准确性、科学性；二是加强预算资金管理，确保预算资金的执行进度；三是加强项目管理。</w:t>
      </w:r>
    </w:p>
    <w:p>
      <w:pPr>
        <w:snapToGrid w:val="0"/>
        <w:spacing w:line="520" w:lineRule="exact"/>
        <w:ind w:firstLine="640" w:firstLineChars="200"/>
        <w:rPr>
          <w:rFonts w:ascii="黑体" w:hAnsi="宋体" w:eastAsia="黑体" w:cs="黑体"/>
          <w:sz w:val="32"/>
          <w:szCs w:val="32"/>
        </w:rPr>
      </w:pPr>
      <w:r>
        <w:rPr>
          <w:rFonts w:hint="eastAsia" w:ascii="黑体" w:hAnsi="宋体" w:eastAsia="黑体" w:cs="黑体"/>
          <w:sz w:val="32"/>
          <w:szCs w:val="32"/>
        </w:rPr>
        <w:t>三、本年度部门决算等财务工作开展情况</w:t>
      </w:r>
    </w:p>
    <w:p>
      <w:pPr>
        <w:ind w:firstLine="643" w:firstLineChars="200"/>
        <w:rPr>
          <w:rFonts w:ascii="楷体" w:hAnsi="楷体" w:eastAsia="楷体" w:cs="楷体_GB2312"/>
          <w:b/>
          <w:sz w:val="32"/>
          <w:szCs w:val="32"/>
        </w:rPr>
      </w:pPr>
      <w:r>
        <w:rPr>
          <w:rFonts w:hint="eastAsia" w:ascii="楷体" w:hAnsi="楷体" w:eastAsia="楷体" w:cs="楷体_GB2312"/>
          <w:b/>
          <w:sz w:val="32"/>
          <w:szCs w:val="32"/>
        </w:rPr>
        <w:t>（一）本单位财务管理、绩效管理、决算组织、编报、审核情况。</w:t>
      </w:r>
    </w:p>
    <w:p>
      <w:pPr>
        <w:ind w:firstLine="640" w:firstLineChars="200"/>
        <w:rPr>
          <w:rFonts w:ascii="仿宋" w:hAnsi="仿宋" w:eastAsia="仿宋" w:cs="仿宋"/>
          <w:sz w:val="32"/>
          <w:szCs w:val="32"/>
        </w:rPr>
      </w:pPr>
      <w:r>
        <w:rPr>
          <w:rFonts w:hint="eastAsia" w:ascii="仿宋" w:hAnsi="仿宋" w:eastAsia="仿宋" w:cs="仿宋"/>
          <w:sz w:val="32"/>
          <w:szCs w:val="32"/>
        </w:rPr>
        <w:t>本单位能够严格执行财经法规、财务政策和财务规定，2021年已按时完成事前、事后绩效评价、决算编报、审核工作。</w:t>
      </w:r>
    </w:p>
    <w:p>
      <w:pPr>
        <w:ind w:firstLine="643" w:firstLineChars="200"/>
        <w:rPr>
          <w:rFonts w:ascii="楷体" w:hAnsi="楷体" w:eastAsia="楷体" w:cs="楷体_GB2312"/>
          <w:b/>
          <w:sz w:val="32"/>
          <w:szCs w:val="32"/>
        </w:rPr>
      </w:pPr>
      <w:r>
        <w:rPr>
          <w:rFonts w:hint="eastAsia" w:ascii="楷体" w:hAnsi="楷体" w:eastAsia="楷体" w:cs="楷体_GB2312"/>
          <w:b/>
          <w:sz w:val="32"/>
          <w:szCs w:val="32"/>
        </w:rPr>
        <w:t>（二）本单位决算及绩效信息公开工作开展情况。</w:t>
      </w:r>
    </w:p>
    <w:p>
      <w:pPr>
        <w:ind w:firstLine="640" w:firstLineChars="200"/>
        <w:rPr>
          <w:rFonts w:ascii="仿宋" w:hAnsi="仿宋" w:eastAsia="仿宋" w:cs="仿宋"/>
          <w:sz w:val="32"/>
          <w:szCs w:val="32"/>
        </w:rPr>
      </w:pPr>
      <w:r>
        <w:rPr>
          <w:rFonts w:hint="eastAsia" w:ascii="仿宋" w:hAnsi="仿宋" w:eastAsia="仿宋" w:cs="仿宋"/>
          <w:sz w:val="32"/>
          <w:szCs w:val="32"/>
        </w:rPr>
        <w:t>本单位按照要求已及时在昌都市财政局政府网站对决算及绩效信息予以公开。</w:t>
      </w:r>
    </w:p>
    <w:p>
      <w:pPr>
        <w:snapToGrid w:val="0"/>
        <w:spacing w:line="580" w:lineRule="exact"/>
        <w:ind w:firstLine="643" w:firstLineChars="200"/>
        <w:rPr>
          <w:rFonts w:ascii="楷体" w:hAnsi="楷体" w:eastAsia="楷体" w:cs="楷体_GB2312"/>
          <w:b/>
          <w:sz w:val="32"/>
          <w:szCs w:val="32"/>
        </w:rPr>
      </w:pPr>
      <w:r>
        <w:rPr>
          <w:rFonts w:hint="eastAsia" w:ascii="楷体" w:hAnsi="楷体" w:eastAsia="楷体" w:cs="楷体_GB2312"/>
          <w:b/>
          <w:sz w:val="32"/>
          <w:szCs w:val="32"/>
        </w:rPr>
        <w:t>（三）对部门决算管理工作的意见和建议。</w:t>
      </w:r>
    </w:p>
    <w:p>
      <w:pPr>
        <w:snapToGrid w:val="0"/>
        <w:spacing w:line="58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无</w:t>
      </w:r>
    </w:p>
    <w:p>
      <w:pPr>
        <w:snapToGrid w:val="0"/>
        <w:rPr>
          <w:rFonts w:ascii="仿宋_GB2312" w:hAnsi="仿宋" w:eastAsia="仿宋_GB2312" w:cs="仿宋"/>
          <w:color w:val="000000"/>
          <w:sz w:val="32"/>
          <w:szCs w:val="32"/>
        </w:rPr>
      </w:pP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小标宋简体">
    <w:altName w:val="微软雅黑"/>
    <w:panose1 w:val="00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script"/>
    <w:pitch w:val="default"/>
    <w:sig w:usb0="00000000" w:usb1="00000000" w:usb2="00000010" w:usb3="00000000" w:csb0="00040000" w:csb1="00000000"/>
  </w:font>
  <w:font w:name="Calibri Light">
    <w:altName w:val="Calibri"/>
    <w:panose1 w:val="020F0302020204030204"/>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16</w:t>
                </w:r>
                <w:r>
                  <w:rPr>
                    <w:rFonts w:hint="eastAsia"/>
                    <w:sz w:val="1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85D9C6"/>
    <w:multiLevelType w:val="singleLevel"/>
    <w:tmpl w:val="5D85D9C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4AB4DF4"/>
    <w:rsid w:val="0054440A"/>
    <w:rsid w:val="005C489C"/>
    <w:rsid w:val="005F27D7"/>
    <w:rsid w:val="006B0F2B"/>
    <w:rsid w:val="00A2098A"/>
    <w:rsid w:val="00B24400"/>
    <w:rsid w:val="00B50509"/>
    <w:rsid w:val="00DB1713"/>
    <w:rsid w:val="00EA7D35"/>
    <w:rsid w:val="00F44084"/>
    <w:rsid w:val="01CB35D5"/>
    <w:rsid w:val="03604681"/>
    <w:rsid w:val="04AB4DF4"/>
    <w:rsid w:val="074453CA"/>
    <w:rsid w:val="07931006"/>
    <w:rsid w:val="07B91472"/>
    <w:rsid w:val="083F092B"/>
    <w:rsid w:val="09336045"/>
    <w:rsid w:val="0ABD0CCE"/>
    <w:rsid w:val="0B060C9A"/>
    <w:rsid w:val="0B82263D"/>
    <w:rsid w:val="0C296DB9"/>
    <w:rsid w:val="0C7270E2"/>
    <w:rsid w:val="0E620145"/>
    <w:rsid w:val="0F0957A0"/>
    <w:rsid w:val="0F371DF8"/>
    <w:rsid w:val="0F8E6B6A"/>
    <w:rsid w:val="1001035F"/>
    <w:rsid w:val="120C1FB2"/>
    <w:rsid w:val="1299789F"/>
    <w:rsid w:val="12AC53BB"/>
    <w:rsid w:val="138B278A"/>
    <w:rsid w:val="140A428E"/>
    <w:rsid w:val="14387B14"/>
    <w:rsid w:val="14556E0A"/>
    <w:rsid w:val="146F2F64"/>
    <w:rsid w:val="147B3176"/>
    <w:rsid w:val="150F1A97"/>
    <w:rsid w:val="15F9346A"/>
    <w:rsid w:val="164F0B31"/>
    <w:rsid w:val="16A9735C"/>
    <w:rsid w:val="17C709DF"/>
    <w:rsid w:val="18463EA2"/>
    <w:rsid w:val="19422DFF"/>
    <w:rsid w:val="1A2B20DE"/>
    <w:rsid w:val="1A374816"/>
    <w:rsid w:val="1A501C64"/>
    <w:rsid w:val="1C0E0B88"/>
    <w:rsid w:val="1FCD799A"/>
    <w:rsid w:val="2086083C"/>
    <w:rsid w:val="225851EA"/>
    <w:rsid w:val="228623C5"/>
    <w:rsid w:val="24986E3A"/>
    <w:rsid w:val="25802570"/>
    <w:rsid w:val="27350BDC"/>
    <w:rsid w:val="289429D7"/>
    <w:rsid w:val="29174C7B"/>
    <w:rsid w:val="295F1AB6"/>
    <w:rsid w:val="29934FE0"/>
    <w:rsid w:val="29955B35"/>
    <w:rsid w:val="29AD6761"/>
    <w:rsid w:val="2AB8637E"/>
    <w:rsid w:val="2C230C0C"/>
    <w:rsid w:val="2DE30DB4"/>
    <w:rsid w:val="2F683BC5"/>
    <w:rsid w:val="3053387F"/>
    <w:rsid w:val="307A010D"/>
    <w:rsid w:val="31037FE4"/>
    <w:rsid w:val="34301648"/>
    <w:rsid w:val="344259A7"/>
    <w:rsid w:val="35F34D28"/>
    <w:rsid w:val="36A93E59"/>
    <w:rsid w:val="3817111F"/>
    <w:rsid w:val="38643B29"/>
    <w:rsid w:val="397C5AAE"/>
    <w:rsid w:val="3C19332D"/>
    <w:rsid w:val="3D1462D6"/>
    <w:rsid w:val="3D3D5E9E"/>
    <w:rsid w:val="3E4508D7"/>
    <w:rsid w:val="3F580B79"/>
    <w:rsid w:val="42840D49"/>
    <w:rsid w:val="42870BE6"/>
    <w:rsid w:val="43FC4AB3"/>
    <w:rsid w:val="44B31896"/>
    <w:rsid w:val="45C746DC"/>
    <w:rsid w:val="45EA5695"/>
    <w:rsid w:val="4649136E"/>
    <w:rsid w:val="46AB3E2B"/>
    <w:rsid w:val="4A32109F"/>
    <w:rsid w:val="4C0B4916"/>
    <w:rsid w:val="4F556006"/>
    <w:rsid w:val="4FA676DD"/>
    <w:rsid w:val="5333054E"/>
    <w:rsid w:val="553D447F"/>
    <w:rsid w:val="55997718"/>
    <w:rsid w:val="59D265D8"/>
    <w:rsid w:val="59E11079"/>
    <w:rsid w:val="5AC5020A"/>
    <w:rsid w:val="5B20755A"/>
    <w:rsid w:val="5DBF23E4"/>
    <w:rsid w:val="5EC147ED"/>
    <w:rsid w:val="5F8B1AFE"/>
    <w:rsid w:val="626E329B"/>
    <w:rsid w:val="62F12587"/>
    <w:rsid w:val="63706087"/>
    <w:rsid w:val="63BF1EB3"/>
    <w:rsid w:val="63DB326C"/>
    <w:rsid w:val="64052410"/>
    <w:rsid w:val="647F004F"/>
    <w:rsid w:val="672828E3"/>
    <w:rsid w:val="674D3DAF"/>
    <w:rsid w:val="678D0EA3"/>
    <w:rsid w:val="68CE648D"/>
    <w:rsid w:val="69A12B3B"/>
    <w:rsid w:val="6A495D6C"/>
    <w:rsid w:val="6B750026"/>
    <w:rsid w:val="6CD877D5"/>
    <w:rsid w:val="6E063513"/>
    <w:rsid w:val="6E1F11F3"/>
    <w:rsid w:val="6F04617E"/>
    <w:rsid w:val="6F956A40"/>
    <w:rsid w:val="6FD73049"/>
    <w:rsid w:val="71DA3A5B"/>
    <w:rsid w:val="72D019B3"/>
    <w:rsid w:val="732C0432"/>
    <w:rsid w:val="73C83AC7"/>
    <w:rsid w:val="747F0B43"/>
    <w:rsid w:val="79B86B5A"/>
    <w:rsid w:val="7A4F17E3"/>
    <w:rsid w:val="7B3E4BFE"/>
    <w:rsid w:val="7D6E4915"/>
    <w:rsid w:val="7E05412E"/>
    <w:rsid w:val="7F3A748A"/>
    <w:rsid w:val="7F7733CF"/>
    <w:rsid w:val="7FE8181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11.xml"/><Relationship Id="rId14" Type="http://schemas.openxmlformats.org/officeDocument/2006/relationships/chart" Target="charts/chart10.xml"/><Relationship Id="rId13" Type="http://schemas.openxmlformats.org/officeDocument/2006/relationships/chart" Target="charts/chart9.xml"/><Relationship Id="rId12" Type="http://schemas.openxmlformats.org/officeDocument/2006/relationships/chart" Target="charts/chart8.xml"/><Relationship Id="rId11" Type="http://schemas.openxmlformats.org/officeDocument/2006/relationships/chart" Target="charts/chart7.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Workbook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Workbook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tLang="en-US"/>
              <a:t>收入支出预算安排情况比对表</a:t>
            </a:r>
            <a:endParaRPr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delete val="1"/>
          </c:dLbls>
          <c:cat>
            <c:strRef>
              <c:f>Sheet1!$A$2:$A$5</c:f>
              <c:strCache>
                <c:ptCount val="4"/>
                <c:pt idx="0">
                  <c:v>年初结转结余</c:v>
                </c:pt>
                <c:pt idx="1">
                  <c:v>总收入</c:v>
                </c:pt>
                <c:pt idx="2">
                  <c:v>一般公共预算收入</c:v>
                </c:pt>
                <c:pt idx="3">
                  <c:v>当年支出数</c:v>
                </c:pt>
              </c:strCache>
            </c:strRef>
          </c:cat>
          <c:val>
            <c:numRef>
              <c:f>Sheet1!$B$2:$B$5</c:f>
              <c:numCache>
                <c:formatCode>General</c:formatCode>
                <c:ptCount val="4"/>
                <c:pt idx="0">
                  <c:v>352.9</c:v>
                </c:pt>
                <c:pt idx="1">
                  <c:v>3407.71</c:v>
                </c:pt>
                <c:pt idx="2">
                  <c:v>3054.8</c:v>
                </c:pt>
                <c:pt idx="3">
                  <c:v>3407.7</c:v>
                </c:pt>
              </c:numCache>
            </c:numRef>
          </c:val>
        </c:ser>
        <c:ser>
          <c:idx val="1"/>
          <c:order val="1"/>
          <c:tx>
            <c:strRef>
              <c:f>Sheet1!$C$1</c:f>
              <c:strCache>
                <c:ptCount val="1"/>
                <c:pt idx="0">
                  <c:v>2021年</c:v>
                </c:pt>
              </c:strCache>
            </c:strRef>
          </c:tx>
          <c:spPr>
            <a:solidFill>
              <a:schemeClr val="accent2"/>
            </a:solidFill>
            <a:ln>
              <a:noFill/>
            </a:ln>
            <a:effectLst/>
          </c:spPr>
          <c:invertIfNegative val="0"/>
          <c:dLbls>
            <c:delete val="1"/>
          </c:dLbls>
          <c:cat>
            <c:strRef>
              <c:f>Sheet1!$A$2:$A$5</c:f>
              <c:strCache>
                <c:ptCount val="4"/>
                <c:pt idx="0">
                  <c:v>年初结转结余</c:v>
                </c:pt>
                <c:pt idx="1">
                  <c:v>总收入</c:v>
                </c:pt>
                <c:pt idx="2">
                  <c:v>一般公共预算收入</c:v>
                </c:pt>
                <c:pt idx="3">
                  <c:v>当年支出数</c:v>
                </c:pt>
              </c:strCache>
            </c:strRef>
          </c:cat>
          <c:val>
            <c:numRef>
              <c:f>Sheet1!$C$2:$C$5</c:f>
              <c:numCache>
                <c:formatCode>General</c:formatCode>
                <c:ptCount val="4"/>
                <c:pt idx="0">
                  <c:v>749.95</c:v>
                </c:pt>
                <c:pt idx="1">
                  <c:v>2441.1</c:v>
                </c:pt>
                <c:pt idx="2">
                  <c:v>1993.21</c:v>
                </c:pt>
                <c:pt idx="3">
                  <c:v>2441.1</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strRef>
              <c:f>Sheet1!$A$2:$A$5</c:f>
              <c:strCache>
                <c:ptCount val="4"/>
                <c:pt idx="0">
                  <c:v>年初结转结余</c:v>
                </c:pt>
                <c:pt idx="1">
                  <c:v>总收入</c:v>
                </c:pt>
                <c:pt idx="2">
                  <c:v>一般公共预算收入</c:v>
                </c:pt>
                <c:pt idx="3">
                  <c:v>当年支出数</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gapWidth val="219"/>
        <c:overlap val="-27"/>
        <c:axId val="101344384"/>
        <c:axId val="101498880"/>
      </c:barChart>
      <c:catAx>
        <c:axId val="10134438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1498880"/>
        <c:crosses val="autoZero"/>
        <c:auto val="1"/>
        <c:lblAlgn val="ctr"/>
        <c:lblOffset val="100"/>
        <c:noMultiLvlLbl val="0"/>
      </c:catAx>
      <c:valAx>
        <c:axId val="10149888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1344384"/>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年财政拨款支出分析</a:t>
            </a:r>
            <a:endParaRPr altLang="en-US"/>
          </a:p>
        </c:rich>
      </c:tx>
      <c:layout/>
      <c:overlay val="0"/>
      <c:spPr>
        <a:noFill/>
        <a:ln>
          <a:noFill/>
        </a:ln>
        <a:effectLst/>
      </c:spPr>
    </c:title>
    <c:autoTitleDeleted val="0"/>
    <c:plotArea>
      <c:layout/>
      <c:doughnutChart>
        <c:varyColors val="1"/>
        <c:ser>
          <c:idx val="0"/>
          <c:order val="0"/>
          <c:tx>
            <c:strRef>
              <c:f>Sheet1!$B$1</c:f>
              <c:strCache>
                <c:ptCount val="1"/>
                <c:pt idx="0">
                  <c:v>支出数</c:v>
                </c:pt>
              </c:strCache>
            </c:strRef>
          </c:tx>
          <c:explosion val="0"/>
          <c:dPt>
            <c:idx val="0"/>
            <c:bubble3D val="0"/>
            <c:spPr>
              <a:solidFill>
                <a:schemeClr val="accent2">
                  <a:shade val="76667"/>
                </a:schemeClr>
              </a:solidFill>
              <a:ln w="19050">
                <a:solidFill>
                  <a:schemeClr val="lt1"/>
                </a:solidFill>
              </a:ln>
              <a:effectLst/>
            </c:spPr>
          </c:dPt>
          <c:dPt>
            <c:idx val="1"/>
            <c:bubble3D val="0"/>
            <c:spPr>
              <a:solidFill>
                <a:schemeClr val="accent2">
                  <a:tint val="76667"/>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1844.67</c:v>
                </c:pt>
                <c:pt idx="1">
                  <c:v>632.51</c:v>
                </c:pt>
              </c:numCache>
            </c:numRef>
          </c:val>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400" b="0" i="0" u="none" strike="noStrike" kern="1200" cap="none" spc="20" baseline="0">
                <a:solidFill>
                  <a:schemeClr val="tx1">
                    <a:lumMod val="50000"/>
                    <a:lumOff val="50000"/>
                  </a:schemeClr>
                </a:solidFill>
                <a:latin typeface="+mn-lt"/>
                <a:ea typeface="+mn-ea"/>
                <a:cs typeface="+mn-cs"/>
              </a:defRPr>
            </a:pPr>
            <a:r>
              <a:rPr lang="zh-CN" altLang="en-US"/>
              <a:t>项目支出结转</a:t>
            </a:r>
            <a:endParaRPr altLang="en-US"/>
          </a:p>
        </c:rich>
      </c:tx>
      <c:layout/>
      <c:overlay val="0"/>
      <c:spPr>
        <a:noFill/>
        <a:ln>
          <a:noFill/>
        </a:ln>
        <a:effectLst/>
      </c:spPr>
    </c:title>
    <c:autoTitleDeleted val="0"/>
    <c:plotArea>
      <c:layout/>
      <c:radarChart>
        <c:radarStyle val="marker"/>
        <c:varyColors val="0"/>
        <c:ser>
          <c:idx val="0"/>
          <c:order val="0"/>
          <c:tx>
            <c:strRef>
              <c:f>Sheet1!$B$1</c:f>
              <c:strCache>
                <c:ptCount val="1"/>
                <c:pt idx="0">
                  <c:v>项目支出结转</c:v>
                </c:pt>
              </c:strCache>
            </c:strRef>
          </c:tx>
          <c:spPr>
            <a:ln w="15875" cap="rnd" cmpd="sng" algn="ctr">
              <a:solidFill>
                <a:schemeClr val="accent1"/>
              </a:solidFill>
              <a:prstDash val="solid"/>
              <a:round/>
            </a:ln>
            <a:effectLst/>
          </c:spPr>
          <c:marker>
            <c:symbol val="none"/>
          </c:marker>
          <c:dLbls>
            <c:delete val="1"/>
          </c:dLbls>
          <c:cat>
            <c:strRef>
              <c:f>Sheet1!$A$2:$A$5</c:f>
              <c:strCache>
                <c:ptCount val="4"/>
                <c:pt idx="0">
                  <c:v>一般行政管理事务</c:v>
                </c:pt>
                <c:pt idx="1">
                  <c:v>机关服务</c:v>
                </c:pt>
                <c:pt idx="2">
                  <c:v>预算改革业务</c:v>
                </c:pt>
                <c:pt idx="3">
                  <c:v>财政委托业务支出</c:v>
                </c:pt>
              </c:strCache>
            </c:strRef>
          </c:cat>
          <c:val>
            <c:numRef>
              <c:f>Sheet1!$B$2:$B$5</c:f>
              <c:numCache>
                <c:formatCode>General</c:formatCode>
                <c:ptCount val="4"/>
                <c:pt idx="0">
                  <c:v>109.64</c:v>
                </c:pt>
                <c:pt idx="1">
                  <c:v>0.8</c:v>
                </c:pt>
                <c:pt idx="2">
                  <c:v>36.93</c:v>
                </c:pt>
                <c:pt idx="3">
                  <c:v>92.07</c:v>
                </c:pt>
              </c:numCache>
            </c:numRef>
          </c:val>
        </c:ser>
        <c:ser>
          <c:idx val="1"/>
          <c:order val="1"/>
          <c:tx>
            <c:strRef>
              <c:f>Sheet1!#REF!</c:f>
              <c:strCache>
                <c:ptCount val="1"/>
                <c:pt idx="0">
                  <c:v/>
                </c:pt>
              </c:strCache>
            </c:strRef>
          </c:tx>
          <c:spPr>
            <a:ln w="15875" cap="rnd" cmpd="sng" algn="ctr">
              <a:solidFill>
                <a:schemeClr val="accent2"/>
              </a:solidFill>
              <a:prstDash val="solid"/>
              <a:round/>
            </a:ln>
            <a:effectLst/>
          </c:spPr>
          <c:marker>
            <c:symbol val="none"/>
          </c:marker>
          <c:dLbls>
            <c:delete val="1"/>
          </c:dLbls>
          <c:cat>
            <c:strRef>
              <c:f>Sheet1!$A$2:$A$5</c:f>
              <c:strCache>
                <c:ptCount val="4"/>
                <c:pt idx="0">
                  <c:v>一般行政管理事务</c:v>
                </c:pt>
                <c:pt idx="1">
                  <c:v>机关服务</c:v>
                </c:pt>
                <c:pt idx="2">
                  <c:v>预算改革业务</c:v>
                </c:pt>
                <c:pt idx="3">
                  <c:v>财政委托业务支出</c:v>
                </c:pt>
              </c:strCache>
            </c:strRef>
          </c:cat>
          <c:val>
            <c:numRef>
              <c:f>Sheet1!#REF!</c:f>
              <c:numCache>
                <c:formatCode>General</c:formatCode>
                <c:ptCount val="1"/>
                <c:pt idx="0">
                  <c:v>1</c:v>
                </c:pt>
              </c:numCache>
            </c:numRef>
          </c:val>
        </c:ser>
        <c:dLbls>
          <c:showLegendKey val="0"/>
          <c:showVal val="0"/>
          <c:showCatName val="0"/>
          <c:showSerName val="0"/>
          <c:showPercent val="0"/>
          <c:showBubbleSize val="0"/>
        </c:dLbls>
        <c:axId val="117794688"/>
        <c:axId val="117796224"/>
      </c:radarChart>
      <c:catAx>
        <c:axId val="117794688"/>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forceAA="0"/>
          <a:lstStyle/>
          <a:p>
            <a:pPr>
              <a:defRPr lang="zh-CN" sz="900" b="0" i="0" u="none" strike="noStrike" kern="1200" baseline="0">
                <a:solidFill>
                  <a:schemeClr val="tx1">
                    <a:lumMod val="50000"/>
                    <a:lumOff val="50000"/>
                  </a:schemeClr>
                </a:solidFill>
                <a:latin typeface="+mn-lt"/>
                <a:ea typeface="+mn-ea"/>
                <a:cs typeface="+mn-cs"/>
              </a:defRPr>
            </a:pPr>
          </a:p>
        </c:txPr>
        <c:crossAx val="117796224"/>
        <c:crosses val="autoZero"/>
        <c:auto val="1"/>
        <c:lblAlgn val="ctr"/>
        <c:lblOffset val="100"/>
        <c:noMultiLvlLbl val="0"/>
      </c:catAx>
      <c:valAx>
        <c:axId val="1177962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crossAx val="117794688"/>
        <c:crosses val="autoZero"/>
        <c:crossBetween val="between"/>
      </c:valAx>
      <c:spPr>
        <a:noFill/>
        <a:ln>
          <a:noFill/>
        </a:ln>
        <a:effectLst/>
      </c:spPr>
    </c:plotArea>
    <c:legend>
      <c:legendPos val="b"/>
      <c:legendEntry>
        <c:idx val="1"/>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收入支出预算执行情况比对表</a:t>
            </a: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c:v>
                </c:pt>
              </c:strCache>
            </c:strRef>
          </c:tx>
          <c:spPr>
            <a:solidFill>
              <a:schemeClr val="accent1"/>
            </a:solidFill>
            <a:ln>
              <a:noFill/>
            </a:ln>
            <a:effectLst/>
          </c:spPr>
          <c:invertIfNegative val="0"/>
          <c:dLbls>
            <c:delete val="1"/>
          </c:dLbls>
          <c:cat>
            <c:strRef>
              <c:f>Sheet1!$A$2:$A$3</c:f>
              <c:strCache>
                <c:ptCount val="2"/>
                <c:pt idx="0">
                  <c:v>财政拨款收入</c:v>
                </c:pt>
                <c:pt idx="1">
                  <c:v>财政拨款支出</c:v>
                </c:pt>
              </c:strCache>
            </c:strRef>
          </c:cat>
          <c:val>
            <c:numRef>
              <c:f>Sheet1!$B$2:$B$3</c:f>
              <c:numCache>
                <c:formatCode>General</c:formatCode>
                <c:ptCount val="2"/>
                <c:pt idx="0">
                  <c:v>3054.8</c:v>
                </c:pt>
                <c:pt idx="1">
                  <c:v>2567.76</c:v>
                </c:pt>
              </c:numCache>
            </c:numRef>
          </c:val>
        </c:ser>
        <c:ser>
          <c:idx val="1"/>
          <c:order val="1"/>
          <c:tx>
            <c:strRef>
              <c:f>Sheet1!$C$1</c:f>
              <c:strCache>
                <c:ptCount val="1"/>
                <c:pt idx="0">
                  <c:v>2021年</c:v>
                </c:pt>
              </c:strCache>
            </c:strRef>
          </c:tx>
          <c:spPr>
            <a:solidFill>
              <a:schemeClr val="accent2"/>
            </a:solidFill>
            <a:ln>
              <a:noFill/>
            </a:ln>
            <a:effectLst/>
          </c:spPr>
          <c:invertIfNegative val="0"/>
          <c:dLbls>
            <c:delete val="1"/>
          </c:dLbls>
          <c:cat>
            <c:strRef>
              <c:f>Sheet1!$A$2:$A$3</c:f>
              <c:strCache>
                <c:ptCount val="2"/>
                <c:pt idx="0">
                  <c:v>财政拨款收入</c:v>
                </c:pt>
                <c:pt idx="1">
                  <c:v>财政拨款支出</c:v>
                </c:pt>
              </c:strCache>
            </c:strRef>
          </c:cat>
          <c:val>
            <c:numRef>
              <c:f>Sheet1!$C$2:$C$3</c:f>
              <c:numCache>
                <c:formatCode>General</c:formatCode>
                <c:ptCount val="2"/>
                <c:pt idx="0">
                  <c:v>1993.21</c:v>
                </c:pt>
                <c:pt idx="1">
                  <c:v>2441.1</c:v>
                </c:pt>
              </c:numCache>
            </c:numRef>
          </c:val>
        </c:ser>
        <c:dLbls>
          <c:showLegendKey val="0"/>
          <c:showVal val="0"/>
          <c:showCatName val="0"/>
          <c:showSerName val="0"/>
          <c:showPercent val="0"/>
          <c:showBubbleSize val="0"/>
        </c:dLbls>
        <c:gapWidth val="219"/>
        <c:overlap val="-27"/>
        <c:axId val="101629312"/>
        <c:axId val="107874560"/>
      </c:barChart>
      <c:catAx>
        <c:axId val="101629312"/>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7874560"/>
        <c:crosses val="autoZero"/>
        <c:auto val="1"/>
        <c:lblAlgn val="ctr"/>
        <c:lblOffset val="100"/>
        <c:noMultiLvlLbl val="0"/>
      </c:catAx>
      <c:valAx>
        <c:axId val="1078745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0162931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支出预算决算比对表</a:t>
            </a:r>
          </a:p>
        </c:rich>
      </c:tx>
      <c:layout>
        <c:manualLayout>
          <c:xMode val="edge"/>
          <c:yMode val="edge"/>
          <c:x val="0.362210604929052"/>
          <c:y val="0.0286971093422706"/>
        </c:manualLayout>
      </c:layout>
      <c:overlay val="0"/>
      <c:spPr>
        <a:noFill/>
        <a:ln>
          <a:noFill/>
        </a:ln>
        <a:effectLst/>
      </c:spPr>
    </c:title>
    <c:autoTitleDeleted val="0"/>
    <c:plotArea>
      <c:layout/>
      <c:lineChart>
        <c:grouping val="standard"/>
        <c:varyColors val="0"/>
        <c:ser>
          <c:idx val="0"/>
          <c:order val="0"/>
          <c:tx>
            <c:strRef>
              <c:f>Sheet1!$B$1</c:f>
              <c:strCache>
                <c:ptCount val="1"/>
                <c:pt idx="0">
                  <c:v>年初预算数</c:v>
                </c:pt>
              </c:strCache>
            </c:strRef>
          </c:tx>
          <c:spPr>
            <a:ln w="31750" cap="rnd" cmpd="sng" algn="ctr">
              <a:solidFill>
                <a:schemeClr val="accent1"/>
              </a:solidFill>
              <a:prstDash val="solid"/>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Sheet1!$A$2:$A$7</c:f>
              <c:strCache>
                <c:ptCount val="6"/>
                <c:pt idx="0">
                  <c:v>一般公共服务支出</c:v>
                </c:pt>
                <c:pt idx="1">
                  <c:v>社会保障和就业支出</c:v>
                </c:pt>
                <c:pt idx="2">
                  <c:v>卫生健康支出</c:v>
                </c:pt>
                <c:pt idx="3">
                  <c:v>交通运输支出</c:v>
                </c:pt>
                <c:pt idx="4">
                  <c:v>商业服务业等支出</c:v>
                </c:pt>
                <c:pt idx="5">
                  <c:v>住房保障支出</c:v>
                </c:pt>
              </c:strCache>
            </c:strRef>
          </c:cat>
          <c:val>
            <c:numRef>
              <c:f>Sheet1!$B$2:$B$7</c:f>
              <c:numCache>
                <c:formatCode>General</c:formatCode>
                <c:ptCount val="6"/>
                <c:pt idx="0">
                  <c:v>2929.95</c:v>
                </c:pt>
                <c:pt idx="1">
                  <c:v>150.09</c:v>
                </c:pt>
                <c:pt idx="2">
                  <c:v>102.57</c:v>
                </c:pt>
                <c:pt idx="3">
                  <c:v>2</c:v>
                </c:pt>
                <c:pt idx="5">
                  <c:v>103.79</c:v>
                </c:pt>
              </c:numCache>
            </c:numRef>
          </c:val>
          <c:smooth val="0"/>
        </c:ser>
        <c:ser>
          <c:idx val="1"/>
          <c:order val="1"/>
          <c:tx>
            <c:strRef>
              <c:f>Sheet1!$C$1</c:f>
              <c:strCache>
                <c:ptCount val="1"/>
                <c:pt idx="0">
                  <c:v>调整预算数</c:v>
                </c:pt>
              </c:strCache>
            </c:strRef>
          </c:tx>
          <c:spPr>
            <a:ln w="31750" cap="rnd" cmpd="sng" algn="ctr">
              <a:solidFill>
                <a:schemeClr val="accent2"/>
              </a:solidFill>
              <a:prstDash val="solid"/>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Sheet1!$A$2:$A$7</c:f>
              <c:strCache>
                <c:ptCount val="6"/>
                <c:pt idx="0">
                  <c:v>一般公共服务支出</c:v>
                </c:pt>
                <c:pt idx="1">
                  <c:v>社会保障和就业支出</c:v>
                </c:pt>
                <c:pt idx="2">
                  <c:v>卫生健康支出</c:v>
                </c:pt>
                <c:pt idx="3">
                  <c:v>交通运输支出</c:v>
                </c:pt>
                <c:pt idx="4">
                  <c:v>商业服务业等支出</c:v>
                </c:pt>
                <c:pt idx="5">
                  <c:v>住房保障支出</c:v>
                </c:pt>
              </c:strCache>
            </c:strRef>
          </c:cat>
          <c:val>
            <c:numRef>
              <c:f>Sheet1!$C$2:$C$7</c:f>
              <c:numCache>
                <c:formatCode>General</c:formatCode>
                <c:ptCount val="6"/>
                <c:pt idx="0">
                  <c:v>2396.19</c:v>
                </c:pt>
                <c:pt idx="1">
                  <c:v>151.22</c:v>
                </c:pt>
                <c:pt idx="2">
                  <c:v>84.84</c:v>
                </c:pt>
                <c:pt idx="3">
                  <c:v>2</c:v>
                </c:pt>
                <c:pt idx="4">
                  <c:v>10</c:v>
                </c:pt>
                <c:pt idx="5">
                  <c:v>108.91</c:v>
                </c:pt>
              </c:numCache>
            </c:numRef>
          </c:val>
          <c:smooth val="0"/>
        </c:ser>
        <c:ser>
          <c:idx val="2"/>
          <c:order val="2"/>
          <c:tx>
            <c:strRef>
              <c:f>Sheet1!$D$1</c:f>
              <c:strCache>
                <c:ptCount val="1"/>
                <c:pt idx="0">
                  <c:v>决算数</c:v>
                </c:pt>
              </c:strCache>
            </c:strRef>
          </c:tx>
          <c:spPr>
            <a:ln w="31750" cap="rnd" cmpd="sng" algn="ctr">
              <a:solidFill>
                <a:schemeClr val="accent3"/>
              </a:solidFill>
              <a:prstDash val="solid"/>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2">
                          <a:lumMod val="35000"/>
                          <a:lumOff val="65000"/>
                        </a:schemeClr>
                      </a:solidFill>
                      <a:prstDash val="solid"/>
                      <a:round/>
                    </a:ln>
                    <a:effectLst/>
                  </c:spPr>
                </c15:leaderLines>
              </c:ext>
            </c:extLst>
          </c:dLbls>
          <c:cat>
            <c:strRef>
              <c:f>Sheet1!$A$2:$A$7</c:f>
              <c:strCache>
                <c:ptCount val="6"/>
                <c:pt idx="0">
                  <c:v>一般公共服务支出</c:v>
                </c:pt>
                <c:pt idx="1">
                  <c:v>社会保障和就业支出</c:v>
                </c:pt>
                <c:pt idx="2">
                  <c:v>卫生健康支出</c:v>
                </c:pt>
                <c:pt idx="3">
                  <c:v>交通运输支出</c:v>
                </c:pt>
                <c:pt idx="4">
                  <c:v>商业服务业等支出</c:v>
                </c:pt>
                <c:pt idx="5">
                  <c:v>住房保障支出</c:v>
                </c:pt>
              </c:strCache>
            </c:strRef>
          </c:cat>
          <c:val>
            <c:numRef>
              <c:f>Sheet1!$D$2:$D$7</c:f>
              <c:numCache>
                <c:formatCode>General</c:formatCode>
                <c:ptCount val="6"/>
                <c:pt idx="0">
                  <c:v>2096.13</c:v>
                </c:pt>
                <c:pt idx="1">
                  <c:v>151.22</c:v>
                </c:pt>
                <c:pt idx="2">
                  <c:v>84.84</c:v>
                </c:pt>
                <c:pt idx="4">
                  <c:v>10</c:v>
                </c:pt>
                <c:pt idx="5">
                  <c:v>108.91</c:v>
                </c:pt>
              </c:numCache>
            </c:numRef>
          </c:val>
          <c:smooth val="0"/>
        </c:ser>
        <c:dLbls>
          <c:showLegendKey val="0"/>
          <c:showVal val="1"/>
          <c:showCatName val="0"/>
          <c:showSerName val="0"/>
          <c:showPercent val="0"/>
          <c:showBubbleSize val="0"/>
        </c:dLbls>
        <c:marker val="0"/>
        <c:smooth val="0"/>
        <c:axId val="108089728"/>
        <c:axId val="108091264"/>
      </c:lineChart>
      <c:catAx>
        <c:axId val="108089728"/>
        <c:scaling>
          <c:orientation val="minMax"/>
        </c:scaling>
        <c:delete val="0"/>
        <c:axPos val="b"/>
        <c:majorTickMark val="none"/>
        <c:minorTickMark val="none"/>
        <c:tickLblPos val="nextTo"/>
        <c:spPr>
          <a:noFill/>
          <a:ln w="9525" cap="flat" cmpd="sng" algn="ctr">
            <a:solidFill>
              <a:schemeClr val="tx2">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108091264"/>
        <c:crosses val="autoZero"/>
        <c:auto val="1"/>
        <c:lblAlgn val="ctr"/>
        <c:lblOffset val="100"/>
        <c:noMultiLvlLbl val="0"/>
      </c:catAx>
      <c:valAx>
        <c:axId val="108091264"/>
        <c:scaling>
          <c:orientation val="minMax"/>
        </c:scaling>
        <c:delete val="0"/>
        <c:axPos val="l"/>
        <c:majorGridlines>
          <c:spPr>
            <a:ln w="9525" cap="flat" cmpd="sng" algn="ctr">
              <a:solidFill>
                <a:schemeClr val="tx2">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108089728"/>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支出预算决算比对表</a:t>
            </a:r>
          </a:p>
        </c:rich>
      </c:tx>
      <c:layout>
        <c:manualLayout>
          <c:xMode val="edge"/>
          <c:yMode val="edge"/>
          <c:x val="0.333625"/>
          <c:y val="0.0531043593130779"/>
        </c:manualLayout>
      </c:layout>
      <c:overlay val="0"/>
      <c:spPr>
        <a:noFill/>
        <a:ln>
          <a:noFill/>
        </a:ln>
        <a:effectLst/>
      </c:spPr>
    </c:title>
    <c:autoTitleDeleted val="0"/>
    <c:plotArea>
      <c:layout/>
      <c:lineChart>
        <c:grouping val="standard"/>
        <c:varyColors val="0"/>
        <c:ser>
          <c:idx val="0"/>
          <c:order val="0"/>
          <c:tx>
            <c:strRef>
              <c:f>Sheet1!$B$1</c:f>
              <c:strCache>
                <c:ptCount val="1"/>
                <c:pt idx="0">
                  <c:v>年初预算数</c:v>
                </c:pt>
              </c:strCache>
            </c:strRef>
          </c:tx>
          <c:spPr>
            <a:ln w="31750" cap="rnd" cmpd="sng" algn="ctr">
              <a:solidFill>
                <a:schemeClr val="accent1"/>
              </a:solidFill>
              <a:prstDash val="solid"/>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2">
                          <a:lumMod val="35000"/>
                          <a:lumOff val="65000"/>
                        </a:schemeClr>
                      </a:solidFill>
                      <a:prstDash val="solid"/>
                      <a:round/>
                    </a:ln>
                    <a:effectLst/>
                  </c:spPr>
                </c15:leaderLines>
              </c:ext>
            </c:extLst>
          </c:dLbls>
          <c:cat>
            <c:strRef>
              <c:f>Sheet1!$A$2:$A$4</c:f>
              <c:strCache>
                <c:ptCount val="3"/>
                <c:pt idx="0">
                  <c:v>人员经费</c:v>
                </c:pt>
                <c:pt idx="1">
                  <c:v>公用经费</c:v>
                </c:pt>
                <c:pt idx="2">
                  <c:v>项目支出</c:v>
                </c:pt>
              </c:strCache>
            </c:strRef>
          </c:cat>
          <c:val>
            <c:numRef>
              <c:f>Sheet1!$B$2:$B$4</c:f>
              <c:numCache>
                <c:formatCode>General</c:formatCode>
                <c:ptCount val="3"/>
                <c:pt idx="0">
                  <c:v>1453.57</c:v>
                </c:pt>
                <c:pt idx="1">
                  <c:v>297.75</c:v>
                </c:pt>
                <c:pt idx="2">
                  <c:v>1537.09</c:v>
                </c:pt>
              </c:numCache>
            </c:numRef>
          </c:val>
          <c:smooth val="0"/>
        </c:ser>
        <c:ser>
          <c:idx val="1"/>
          <c:order val="1"/>
          <c:tx>
            <c:strRef>
              <c:f>Sheet1!$C$1</c:f>
              <c:strCache>
                <c:ptCount val="1"/>
                <c:pt idx="0">
                  <c:v>调整预算数</c:v>
                </c:pt>
              </c:strCache>
            </c:strRef>
          </c:tx>
          <c:spPr>
            <a:ln w="31750" cap="rnd" cmpd="sng" algn="ctr">
              <a:solidFill>
                <a:schemeClr val="accent2"/>
              </a:solidFill>
              <a:prstDash val="solid"/>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2">
                          <a:lumMod val="35000"/>
                          <a:lumOff val="65000"/>
                        </a:schemeClr>
                      </a:solidFill>
                      <a:prstDash val="solid"/>
                      <a:round/>
                    </a:ln>
                    <a:effectLst/>
                  </c:spPr>
                </c15:leaderLines>
              </c:ext>
            </c:extLst>
          </c:dLbls>
          <c:cat>
            <c:strRef>
              <c:f>Sheet1!$A$2:$A$4</c:f>
              <c:strCache>
                <c:ptCount val="3"/>
                <c:pt idx="0">
                  <c:v>人员经费</c:v>
                </c:pt>
                <c:pt idx="1">
                  <c:v>公用经费</c:v>
                </c:pt>
                <c:pt idx="2">
                  <c:v>项目支出</c:v>
                </c:pt>
              </c:strCache>
            </c:strRef>
          </c:cat>
          <c:val>
            <c:numRef>
              <c:f>Sheet1!$C$2:$C$4</c:f>
              <c:numCache>
                <c:formatCode>General</c:formatCode>
                <c:ptCount val="3"/>
                <c:pt idx="0">
                  <c:v>1652.42</c:v>
                </c:pt>
                <c:pt idx="1">
                  <c:v>207.47</c:v>
                </c:pt>
                <c:pt idx="2">
                  <c:v>883.27</c:v>
                </c:pt>
              </c:numCache>
            </c:numRef>
          </c:val>
          <c:smooth val="0"/>
        </c:ser>
        <c:ser>
          <c:idx val="2"/>
          <c:order val="2"/>
          <c:tx>
            <c:strRef>
              <c:f>Sheet1!$D$1</c:f>
              <c:strCache>
                <c:ptCount val="1"/>
                <c:pt idx="0">
                  <c:v>决算数</c:v>
                </c:pt>
              </c:strCache>
            </c:strRef>
          </c:tx>
          <c:spPr>
            <a:ln w="31750" cap="rnd" cmpd="sng" algn="ctr">
              <a:solidFill>
                <a:schemeClr val="accent3"/>
              </a:solidFill>
              <a:prstDash val="solid"/>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2">
                          <a:lumMod val="35000"/>
                          <a:lumOff val="65000"/>
                        </a:schemeClr>
                      </a:solidFill>
                      <a:prstDash val="solid"/>
                      <a:round/>
                    </a:ln>
                    <a:effectLst/>
                  </c:spPr>
                </c15:leaderLines>
              </c:ext>
            </c:extLst>
          </c:dLbls>
          <c:cat>
            <c:strRef>
              <c:f>Sheet1!$A$2:$A$4</c:f>
              <c:strCache>
                <c:ptCount val="3"/>
                <c:pt idx="0">
                  <c:v>人员经费</c:v>
                </c:pt>
                <c:pt idx="1">
                  <c:v>公用经费</c:v>
                </c:pt>
                <c:pt idx="2">
                  <c:v>项目支出</c:v>
                </c:pt>
              </c:strCache>
            </c:strRef>
          </c:cat>
          <c:val>
            <c:numRef>
              <c:f>Sheet1!$D$2:$D$4</c:f>
              <c:numCache>
                <c:formatCode>General</c:formatCode>
                <c:ptCount val="3"/>
                <c:pt idx="0">
                  <c:v>1652.42</c:v>
                </c:pt>
                <c:pt idx="1">
                  <c:v>192.26</c:v>
                </c:pt>
                <c:pt idx="2">
                  <c:v>632.51</c:v>
                </c:pt>
              </c:numCache>
            </c:numRef>
          </c:val>
          <c:smooth val="0"/>
        </c:ser>
        <c:dLbls>
          <c:showLegendKey val="0"/>
          <c:showVal val="1"/>
          <c:showCatName val="0"/>
          <c:showSerName val="0"/>
          <c:showPercent val="0"/>
          <c:showBubbleSize val="0"/>
        </c:dLbls>
        <c:marker val="0"/>
        <c:smooth val="0"/>
        <c:axId val="117424896"/>
        <c:axId val="100540416"/>
      </c:lineChart>
      <c:catAx>
        <c:axId val="117424896"/>
        <c:scaling>
          <c:orientation val="minMax"/>
        </c:scaling>
        <c:delete val="0"/>
        <c:axPos val="b"/>
        <c:majorTickMark val="none"/>
        <c:minorTickMark val="none"/>
        <c:tickLblPos val="nextTo"/>
        <c:spPr>
          <a:noFill/>
          <a:ln w="9525" cap="flat" cmpd="sng" algn="ctr">
            <a:solidFill>
              <a:schemeClr val="tx2">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100540416"/>
        <c:crosses val="autoZero"/>
        <c:auto val="1"/>
        <c:lblAlgn val="ctr"/>
        <c:lblOffset val="100"/>
        <c:noMultiLvlLbl val="0"/>
      </c:catAx>
      <c:valAx>
        <c:axId val="100540416"/>
        <c:scaling>
          <c:orientation val="minMax"/>
        </c:scaling>
        <c:delete val="0"/>
        <c:axPos val="l"/>
        <c:majorGridlines>
          <c:spPr>
            <a:ln w="9525" cap="flat" cmpd="sng" algn="ctr">
              <a:solidFill>
                <a:schemeClr val="tx2">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11742489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t>202</a:t>
            </a:r>
            <a:r>
              <a:rPr lang="en-US" altLang="zh-CN"/>
              <a:t>1</a:t>
            </a:r>
            <a:r>
              <a:t>年总收入</a:t>
            </a:r>
          </a:p>
        </c:rich>
      </c:tx>
      <c:layout>
        <c:manualLayout>
          <c:xMode val="edge"/>
          <c:yMode val="edge"/>
          <c:x val="0.298828969078521"/>
          <c:y val="0.0228409716887881"/>
        </c:manualLayout>
      </c:layout>
      <c:overlay val="0"/>
      <c:spPr>
        <a:noFill/>
        <a:ln>
          <a:noFill/>
        </a:ln>
        <a:effectLst/>
      </c:spPr>
    </c:title>
    <c:autoTitleDeleted val="0"/>
    <c:plotArea>
      <c:layout/>
      <c:pieChart>
        <c:varyColors val="1"/>
        <c:ser>
          <c:idx val="0"/>
          <c:order val="0"/>
          <c:tx>
            <c:strRef>
              <c:f>Sheet1!$B$1</c:f>
              <c:strCache>
                <c:ptCount val="1"/>
                <c:pt idx="0">
                  <c:v>收入</c:v>
                </c:pt>
              </c:strCache>
            </c:strRef>
          </c:tx>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dPt>
          <c:dPt>
            <c:idx val="5"/>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一般公共服务支出</c:v>
                </c:pt>
                <c:pt idx="1">
                  <c:v>社会保障和就业支出</c:v>
                </c:pt>
                <c:pt idx="2">
                  <c:v>卫生健康支出</c:v>
                </c:pt>
                <c:pt idx="3">
                  <c:v>交通运输支出</c:v>
                </c:pt>
                <c:pt idx="4">
                  <c:v>商业服务业等支出</c:v>
                </c:pt>
                <c:pt idx="5">
                  <c:v>住房保障支出</c:v>
                </c:pt>
              </c:strCache>
            </c:strRef>
          </c:cat>
          <c:val>
            <c:numRef>
              <c:f>Sheet1!$B$2:$B$7</c:f>
              <c:numCache>
                <c:formatCode>General</c:formatCode>
                <c:ptCount val="6"/>
                <c:pt idx="0">
                  <c:v>1648.24</c:v>
                </c:pt>
                <c:pt idx="1">
                  <c:v>151.22</c:v>
                </c:pt>
                <c:pt idx="2">
                  <c:v>84.84</c:v>
                </c:pt>
                <c:pt idx="3">
                  <c:v>0</c:v>
                </c:pt>
                <c:pt idx="4">
                  <c:v>0</c:v>
                </c:pt>
                <c:pt idx="5">
                  <c:v>108.91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20" baseline="0">
                <a:solidFill>
                  <a:schemeClr val="tx1">
                    <a:lumMod val="50000"/>
                    <a:lumOff val="50000"/>
                  </a:schemeClr>
                </a:solidFill>
                <a:latin typeface="+mn-lt"/>
                <a:ea typeface="+mn-ea"/>
                <a:cs typeface="+mn-cs"/>
              </a:defRPr>
            </a:pPr>
            <a:r>
              <a:t>202</a:t>
            </a:r>
            <a:r>
              <a:rPr lang="en-US" altLang="zh-CN"/>
              <a:t>1</a:t>
            </a:r>
            <a:r>
              <a:t>年总支出</a:t>
            </a:r>
          </a:p>
        </c:rich>
      </c:tx>
      <c:layout>
        <c:manualLayout>
          <c:xMode val="edge"/>
          <c:yMode val="edge"/>
          <c:x val="0.288267776284982"/>
          <c:y val="0.0160122912308649"/>
        </c:manualLayout>
      </c:layout>
      <c:overlay val="0"/>
      <c:spPr>
        <a:noFill/>
        <a:ln>
          <a:noFill/>
        </a:ln>
        <a:effectLst/>
      </c:spPr>
    </c:title>
    <c:autoTitleDeleted val="0"/>
    <c:plotArea>
      <c:layout/>
      <c:pieChart>
        <c:varyColors val="1"/>
        <c:ser>
          <c:idx val="0"/>
          <c:order val="0"/>
          <c:tx>
            <c:strRef>
              <c:f>Sheet1!$B$1</c:f>
              <c:strCache>
                <c:ptCount val="1"/>
                <c:pt idx="0">
                  <c:v>支出</c:v>
                </c:pt>
              </c:strCache>
            </c:strRef>
          </c:tx>
          <c:explosion val="0"/>
          <c:dPt>
            <c:idx val="0"/>
            <c:bubble3D val="0"/>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dPt>
          <c:dPt>
            <c:idx val="1"/>
            <c:bubble3D val="0"/>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dPt>
          <c:dPt>
            <c:idx val="2"/>
            <c:bubble3D val="0"/>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dPt>
          <c:dPt>
            <c:idx val="3"/>
            <c:bubble3D val="0"/>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dPt>
          <c:dPt>
            <c:idx val="4"/>
            <c:bubble3D val="0"/>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dPt>
          <c:dPt>
            <c:idx val="5"/>
            <c:bubble3D val="0"/>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65000"/>
                        <a:lumOff val="35000"/>
                      </a:schemeClr>
                    </a:solidFill>
                    <a:latin typeface="+mn-lt"/>
                    <a:ea typeface="+mn-ea"/>
                    <a:cs typeface="+mn-cs"/>
                  </a:defRPr>
                </a:pPr>
              </a:p>
            </c:txPr>
            <c:dLblPos val="ct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Sheet1!$A$2:$A$7</c:f>
              <c:strCache>
                <c:ptCount val="6"/>
                <c:pt idx="0">
                  <c:v>一般公共服务支出</c:v>
                </c:pt>
                <c:pt idx="1">
                  <c:v>社会保障和就业支出</c:v>
                </c:pt>
                <c:pt idx="2">
                  <c:v>卫生健康支出</c:v>
                </c:pt>
                <c:pt idx="3">
                  <c:v>交通运输支出</c:v>
                </c:pt>
                <c:pt idx="4">
                  <c:v>商业服务业等支出</c:v>
                </c:pt>
                <c:pt idx="5">
                  <c:v>住房保障支出</c:v>
                </c:pt>
              </c:strCache>
            </c:strRef>
          </c:cat>
          <c:val>
            <c:numRef>
              <c:f>Sheet1!$B$2:$B$7</c:f>
              <c:numCache>
                <c:formatCode>General</c:formatCode>
                <c:ptCount val="6"/>
                <c:pt idx="0">
                  <c:v>2096.13</c:v>
                </c:pt>
                <c:pt idx="1">
                  <c:v>151.11</c:v>
                </c:pt>
                <c:pt idx="2">
                  <c:v>84.84</c:v>
                </c:pt>
                <c:pt idx="3">
                  <c:v>0</c:v>
                </c:pt>
                <c:pt idx="4">
                  <c:v>0</c:v>
                </c:pt>
                <c:pt idx="5">
                  <c:v>108.91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50000"/>
                  <a:lumOff val="50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2"/>
                </a:solidFill>
                <a:latin typeface="+mn-lt"/>
                <a:ea typeface="+mn-ea"/>
                <a:cs typeface="+mn-cs"/>
              </a:defRPr>
            </a:pPr>
            <a:r>
              <a:t>收入支出预算执行情况比对表</a:t>
            </a:r>
          </a:p>
        </c:rich>
      </c:tx>
      <c:layout>
        <c:manualLayout>
          <c:xMode val="edge"/>
          <c:yMode val="edge"/>
          <c:x val="0.295538151180729"/>
          <c:y val="0.0526453640649555"/>
        </c:manualLayout>
      </c:layout>
      <c:overlay val="0"/>
      <c:spPr>
        <a:noFill/>
        <a:ln>
          <a:noFill/>
        </a:ln>
        <a:effectLst/>
      </c:spPr>
    </c:title>
    <c:autoTitleDeleted val="0"/>
    <c:plotArea>
      <c:layout/>
      <c:lineChart>
        <c:grouping val="standard"/>
        <c:varyColors val="0"/>
        <c:ser>
          <c:idx val="0"/>
          <c:order val="0"/>
          <c:tx>
            <c:strRef>
              <c:f>Sheet1!$B$1</c:f>
              <c:strCache>
                <c:ptCount val="1"/>
                <c:pt idx="0">
                  <c:v>2020年</c:v>
                </c:pt>
              </c:strCache>
            </c:strRef>
          </c:tx>
          <c:spPr>
            <a:ln w="31750" cap="rnd" cmpd="sng" algn="ctr">
              <a:solidFill>
                <a:schemeClr val="accent1"/>
              </a:solidFill>
              <a:prstDash val="solid"/>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2">
                          <a:lumMod val="35000"/>
                          <a:lumOff val="65000"/>
                        </a:schemeClr>
                      </a:solidFill>
                      <a:prstDash val="solid"/>
                      <a:round/>
                    </a:ln>
                    <a:effectLst/>
                  </c:spPr>
                </c15:leaderLines>
              </c:ext>
            </c:extLst>
          </c:dLbls>
          <c:cat>
            <c:strRef>
              <c:f>Sheet1!$A$2:$A$3</c:f>
              <c:strCache>
                <c:ptCount val="2"/>
                <c:pt idx="0">
                  <c:v>总收入</c:v>
                </c:pt>
                <c:pt idx="1">
                  <c:v>总支出</c:v>
                </c:pt>
              </c:strCache>
            </c:strRef>
          </c:cat>
          <c:val>
            <c:numRef>
              <c:f>Sheet1!$B$2:$B$3</c:f>
              <c:numCache>
                <c:formatCode>General</c:formatCode>
                <c:ptCount val="2"/>
                <c:pt idx="0">
                  <c:v>3407.71</c:v>
                </c:pt>
                <c:pt idx="1">
                  <c:v>2567.76</c:v>
                </c:pt>
              </c:numCache>
            </c:numRef>
          </c:val>
          <c:smooth val="0"/>
        </c:ser>
        <c:ser>
          <c:idx val="1"/>
          <c:order val="1"/>
          <c:tx>
            <c:strRef>
              <c:f>Sheet1!$C$1</c:f>
              <c:strCache>
                <c:ptCount val="1"/>
                <c:pt idx="0">
                  <c:v>2021年</c:v>
                </c:pt>
              </c:strCache>
            </c:strRef>
          </c:tx>
          <c:spPr>
            <a:ln w="31750" cap="rnd" cmpd="sng" algn="ctr">
              <a:solidFill>
                <a:schemeClr val="accent2"/>
              </a:solidFill>
              <a:prstDash val="solid"/>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2"/>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2">
                          <a:lumMod val="35000"/>
                          <a:lumOff val="65000"/>
                        </a:schemeClr>
                      </a:solidFill>
                      <a:prstDash val="solid"/>
                      <a:round/>
                    </a:ln>
                    <a:effectLst/>
                  </c:spPr>
                </c15:leaderLines>
              </c:ext>
            </c:extLst>
          </c:dLbls>
          <c:cat>
            <c:strRef>
              <c:f>Sheet1!$A$2:$A$3</c:f>
              <c:strCache>
                <c:ptCount val="2"/>
                <c:pt idx="0">
                  <c:v>总收入</c:v>
                </c:pt>
                <c:pt idx="1">
                  <c:v>总支出</c:v>
                </c:pt>
              </c:strCache>
            </c:strRef>
          </c:cat>
          <c:val>
            <c:numRef>
              <c:f>Sheet1!$C$2:$C$3</c:f>
              <c:numCache>
                <c:formatCode>General</c:formatCode>
                <c:ptCount val="2"/>
                <c:pt idx="0">
                  <c:v>2743.15</c:v>
                </c:pt>
                <c:pt idx="1">
                  <c:v>2441.1</c:v>
                </c:pt>
              </c:numCache>
            </c:numRef>
          </c:val>
          <c:smooth val="0"/>
        </c:ser>
        <c:dLbls>
          <c:showLegendKey val="0"/>
          <c:showVal val="1"/>
          <c:showCatName val="0"/>
          <c:showSerName val="0"/>
          <c:showPercent val="0"/>
          <c:showBubbleSize val="0"/>
        </c:dLbls>
        <c:marker val="0"/>
        <c:smooth val="0"/>
        <c:axId val="110046592"/>
        <c:axId val="110052480"/>
      </c:lineChart>
      <c:catAx>
        <c:axId val="110046592"/>
        <c:scaling>
          <c:orientation val="minMax"/>
        </c:scaling>
        <c:delete val="0"/>
        <c:axPos val="b"/>
        <c:majorTickMark val="none"/>
        <c:minorTickMark val="none"/>
        <c:tickLblPos val="nextTo"/>
        <c:spPr>
          <a:noFill/>
          <a:ln w="9525" cap="flat" cmpd="sng" algn="ctr">
            <a:solidFill>
              <a:schemeClr val="tx2">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110052480"/>
        <c:crosses val="autoZero"/>
        <c:auto val="1"/>
        <c:lblAlgn val="ctr"/>
        <c:lblOffset val="100"/>
        <c:noMultiLvlLbl val="0"/>
      </c:catAx>
      <c:valAx>
        <c:axId val="110052480"/>
        <c:scaling>
          <c:orientation val="minMax"/>
        </c:scaling>
        <c:delete val="0"/>
        <c:axPos val="l"/>
        <c:majorGridlines>
          <c:spPr>
            <a:ln w="9525" cap="flat" cmpd="sng" algn="ctr">
              <a:solidFill>
                <a:schemeClr val="tx2">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crossAx val="11004659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2"/>
              </a:solidFill>
              <a:latin typeface="+mn-lt"/>
              <a:ea typeface="+mn-ea"/>
              <a:cs typeface="+mn-cs"/>
            </a:defRPr>
          </a:pPr>
        </a:p>
      </c:txPr>
    </c:legend>
    <c:plotVisOnly val="1"/>
    <c:dispBlanksAs val="gap"/>
    <c:showDLblsOverMax val="0"/>
  </c:chart>
  <c:spPr>
    <a:solidFill>
      <a:schemeClr val="bg1"/>
    </a:solidFill>
    <a:ln w="9525" cap="flat" cmpd="sng" algn="ctr">
      <a:solidFill>
        <a:schemeClr val="tx2">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202</a:t>
            </a:r>
            <a:r>
              <a:rPr lang="en-US" altLang="zh-CN"/>
              <a:t>1</a:t>
            </a:r>
            <a:r>
              <a:t>年财政拨款收入分析</a:t>
            </a:r>
          </a:p>
        </c:rich>
      </c:tx>
      <c:layout>
        <c:manualLayout>
          <c:xMode val="edge"/>
          <c:yMode val="edge"/>
          <c:x val="0.321330623611943"/>
          <c:y val="0.04618345893869"/>
        </c:manualLayout>
      </c:layout>
      <c:overlay val="0"/>
      <c:spPr>
        <a:noFill/>
        <a:ln>
          <a:noFill/>
        </a:ln>
        <a:effectLst/>
      </c:spPr>
    </c:title>
    <c:autoTitleDeleted val="0"/>
    <c:plotArea>
      <c:layout/>
      <c:doughnutChart>
        <c:varyColors val="1"/>
        <c:ser>
          <c:idx val="0"/>
          <c:order val="0"/>
          <c:tx>
            <c:strRef>
              <c:f>Sheet1!$B$1</c:f>
              <c:strCache>
                <c:ptCount val="1"/>
                <c:pt idx="0">
                  <c:v>收入</c:v>
                </c:pt>
              </c:strCache>
            </c:strRef>
          </c:tx>
          <c:explosion val="0"/>
          <c:dPt>
            <c:idx val="0"/>
            <c:bubble3D val="0"/>
            <c:spPr>
              <a:solidFill>
                <a:schemeClr val="accent2">
                  <a:shade val="53333"/>
                </a:schemeClr>
              </a:solidFill>
              <a:ln w="19050">
                <a:solidFill>
                  <a:schemeClr val="lt1"/>
                </a:solidFill>
              </a:ln>
              <a:effectLst/>
            </c:spPr>
          </c:dPt>
          <c:dPt>
            <c:idx val="1"/>
            <c:bubble3D val="0"/>
            <c:spPr>
              <a:solidFill>
                <a:schemeClr val="accent2">
                  <a:shade val="76667"/>
                </a:schemeClr>
              </a:solidFill>
              <a:ln w="19050">
                <a:solidFill>
                  <a:schemeClr val="lt1"/>
                </a:solidFill>
              </a:ln>
              <a:effectLst/>
            </c:spPr>
          </c:dPt>
          <c:dPt>
            <c:idx val="2"/>
            <c:bubble3D val="0"/>
            <c:spPr>
              <a:solidFill>
                <a:schemeClr val="accent2"/>
              </a:solidFill>
              <a:ln w="19050">
                <a:solidFill>
                  <a:schemeClr val="lt1"/>
                </a:solidFill>
              </a:ln>
              <a:effectLst/>
            </c:spPr>
          </c:dPt>
          <c:dPt>
            <c:idx val="3"/>
            <c:bubble3D val="0"/>
            <c:spPr>
              <a:solidFill>
                <a:schemeClr val="accent2">
                  <a:tint val="76667"/>
                </a:schemeClr>
              </a:solidFill>
              <a:ln w="19050">
                <a:solidFill>
                  <a:schemeClr val="lt1"/>
                </a:solidFill>
              </a:ln>
              <a:effectLst/>
            </c:spPr>
          </c:dPt>
          <c:dPt>
            <c:idx val="4"/>
            <c:bubble3D val="0"/>
            <c:spPr>
              <a:solidFill>
                <a:schemeClr val="accent2">
                  <a:tint val="53333"/>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Sheet1!$A$2:$A$6</c:f>
              <c:strCache>
                <c:ptCount val="5"/>
                <c:pt idx="0">
                  <c:v>一般公共服务支出</c:v>
                </c:pt>
                <c:pt idx="1">
                  <c:v>社会保障和就业支出</c:v>
                </c:pt>
                <c:pt idx="2">
                  <c:v>卫生健康支出</c:v>
                </c:pt>
                <c:pt idx="3">
                  <c:v>商业服务业等支出</c:v>
                </c:pt>
                <c:pt idx="4">
                  <c:v>住房保障支出</c:v>
                </c:pt>
              </c:strCache>
            </c:strRef>
          </c:cat>
          <c:val>
            <c:numRef>
              <c:f>Sheet1!$B$2:$B$6</c:f>
              <c:numCache>
                <c:formatCode>General</c:formatCode>
                <c:ptCount val="5"/>
                <c:pt idx="0">
                  <c:v>1648.24</c:v>
                </c:pt>
                <c:pt idx="1">
                  <c:v>151.22</c:v>
                </c:pt>
                <c:pt idx="2">
                  <c:v>84.84</c:v>
                </c:pt>
                <c:pt idx="3">
                  <c:v>0</c:v>
                </c:pt>
                <c:pt idx="4">
                  <c:v>108.91</c:v>
                </c:pt>
              </c:numCache>
            </c:numRef>
          </c:val>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zh-CN"/>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2021</a:t>
            </a:r>
            <a:r>
              <a:rPr altLang="en-US"/>
              <a:t>年财政拨款支出分析</a:t>
            </a:r>
            <a:endParaRPr altLang="en-US"/>
          </a:p>
        </c:rich>
      </c:tx>
      <c:layout/>
      <c:overlay val="0"/>
      <c:spPr>
        <a:noFill/>
        <a:ln>
          <a:noFill/>
        </a:ln>
        <a:effectLst/>
      </c:spPr>
    </c:title>
    <c:autoTitleDeleted val="0"/>
    <c:plotArea>
      <c:layout/>
      <c:doughnutChart>
        <c:varyColors val="1"/>
        <c:ser>
          <c:idx val="0"/>
          <c:order val="0"/>
          <c:tx>
            <c:strRef>
              <c:f>Sheet1!$B$1</c:f>
              <c:strCache>
                <c:ptCount val="1"/>
                <c:pt idx="0">
                  <c:v>支出数</c:v>
                </c:pt>
              </c:strCache>
            </c:strRef>
          </c:tx>
          <c:explosion val="0"/>
          <c:dPt>
            <c:idx val="0"/>
            <c:bubble3D val="0"/>
            <c:spPr>
              <a:solidFill>
                <a:schemeClr val="accent2">
                  <a:shade val="76667"/>
                </a:schemeClr>
              </a:solidFill>
              <a:ln w="19050">
                <a:solidFill>
                  <a:schemeClr val="lt1"/>
                </a:solidFill>
              </a:ln>
              <a:effectLst/>
            </c:spPr>
          </c:dPt>
          <c:dPt>
            <c:idx val="1"/>
            <c:bubble3D val="0"/>
            <c:spPr>
              <a:solidFill>
                <a:schemeClr val="accent2">
                  <a:tint val="76667"/>
                </a:schemeClr>
              </a:solidFill>
              <a:ln w="19050">
                <a:solidFill>
                  <a:schemeClr val="lt1"/>
                </a:solidFill>
              </a:ln>
              <a:effectLst/>
            </c:spPr>
          </c:dPt>
          <c:dPt>
            <c:idx val="2"/>
            <c:bubble3D val="0"/>
            <c:spPr>
              <a:solidFill>
                <a:schemeClr val="accent2">
                  <a:tint val="65000"/>
                </a:schemeClr>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Sheet1!$A$2:$A$4</c:f>
              <c:strCache>
                <c:ptCount val="3"/>
                <c:pt idx="0">
                  <c:v>工资福利支出</c:v>
                </c:pt>
                <c:pt idx="1">
                  <c:v>商品和服务支出</c:v>
                </c:pt>
                <c:pt idx="2">
                  <c:v>对个人和家庭补助支出</c:v>
                </c:pt>
              </c:strCache>
            </c:strRef>
          </c:cat>
          <c:val>
            <c:numRef>
              <c:f>Sheet1!$B$2:$B$4</c:f>
              <c:numCache>
                <c:formatCode>General</c:formatCode>
                <c:ptCount val="3"/>
                <c:pt idx="0">
                  <c:v>1627.47</c:v>
                </c:pt>
                <c:pt idx="1">
                  <c:v>786.43</c:v>
                </c:pt>
                <c:pt idx="2">
                  <c:v>27.2</c:v>
                </c:pt>
              </c:numCache>
            </c:numRef>
          </c:val>
        </c:ser>
        <c:dLbls>
          <c:showLegendKey val="0"/>
          <c:showVal val="0"/>
          <c:showCatName val="0"/>
          <c:showSerName val="0"/>
          <c:showPercent val="1"/>
          <c:showBubbleSize val="0"/>
          <c:showLeaderLines val="1"/>
        </c:dLbls>
        <c:firstSliceAng val="0"/>
        <c:holeSize val="75"/>
      </c:doughnut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22</Pages>
  <Words>1463</Words>
  <Characters>8342</Characters>
  <Lines>69</Lines>
  <Paragraphs>19</Paragraphs>
  <TotalTime>0</TotalTime>
  <ScaleCrop>false</ScaleCrop>
  <LinksUpToDate>false</LinksUpToDate>
  <CharactersWithSpaces>9786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2022-01-05T07:00:00Z</dcterms:created>
  <dc:creator>CN=办公室/OU=办公室/OU=昌都市财政局/OU=西藏自治区财政厅/O=TIBET</dc:creator>
  <cp:lastModifiedBy>CN=办公室/OU=办公室/OU=昌都市财政局/OU=西藏自治区财政厅/O=TIBET</cp:lastModifiedBy>
  <cp:lastPrinted>2022-01-05T13:43:00Z</cp:lastPrinted>
  <dcterms:modified xsi:type="dcterms:W3CDTF">2022-03-10T07:36:35Z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